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27A9" w14:textId="77777777" w:rsidR="00FE4756" w:rsidRPr="006A2DB1" w:rsidRDefault="00FE4756" w:rsidP="006A2DB1">
      <w:pPr>
        <w:spacing w:after="120" w:line="276" w:lineRule="auto"/>
        <w:rPr>
          <w:rFonts w:cs="Arial"/>
          <w:b/>
          <w:bCs/>
          <w:color w:val="6C2C91"/>
          <w:kern w:val="32"/>
          <w:sz w:val="32"/>
          <w:szCs w:val="32"/>
        </w:rPr>
      </w:pPr>
      <w:r w:rsidRPr="006A2DB1">
        <w:rPr>
          <w:rFonts w:cs="Arial"/>
          <w:b/>
          <w:bCs/>
          <w:color w:val="6C2C91"/>
          <w:kern w:val="32"/>
          <w:sz w:val="32"/>
          <w:szCs w:val="32"/>
        </w:rPr>
        <w:t>Accredited Registers</w:t>
      </w:r>
    </w:p>
    <w:p w14:paraId="7E067D3E" w14:textId="6B271D62" w:rsidR="00A542B2" w:rsidRPr="006A2DB1" w:rsidRDefault="00FE4756" w:rsidP="006A2DB1">
      <w:pPr>
        <w:spacing w:after="120" w:line="276" w:lineRule="auto"/>
        <w:rPr>
          <w:rFonts w:cs="Arial"/>
          <w:b/>
          <w:bCs/>
          <w:color w:val="6C2C91"/>
          <w:kern w:val="32"/>
          <w:sz w:val="32"/>
          <w:szCs w:val="32"/>
          <w:lang w:val="en-150"/>
        </w:rPr>
      </w:pPr>
      <w:r w:rsidRPr="006A2DB1">
        <w:rPr>
          <w:rFonts w:cs="Arial"/>
          <w:b/>
          <w:bCs/>
          <w:color w:val="6C2C91"/>
          <w:kern w:val="32"/>
          <w:sz w:val="32"/>
          <w:szCs w:val="32"/>
        </w:rPr>
        <w:t>Condition</w:t>
      </w:r>
      <w:r w:rsidR="4EA54C11" w:rsidRPr="006A2DB1">
        <w:rPr>
          <w:rFonts w:cs="Arial"/>
          <w:b/>
          <w:bCs/>
          <w:color w:val="6C2C91"/>
          <w:kern w:val="32"/>
          <w:sz w:val="32"/>
          <w:szCs w:val="32"/>
        </w:rPr>
        <w:t>s</w:t>
      </w:r>
      <w:r w:rsidRPr="006A2DB1">
        <w:rPr>
          <w:rFonts w:cs="Arial"/>
          <w:b/>
          <w:bCs/>
          <w:color w:val="6C2C91"/>
          <w:kern w:val="32"/>
          <w:sz w:val="32"/>
          <w:szCs w:val="32"/>
        </w:rPr>
        <w:t xml:space="preserve"> Review: </w:t>
      </w:r>
      <w:r w:rsidR="00A542B2" w:rsidRPr="006A2DB1">
        <w:rPr>
          <w:rFonts w:cs="Arial"/>
          <w:b/>
          <w:bCs/>
          <w:color w:val="6C2C91"/>
          <w:kern w:val="32"/>
          <w:sz w:val="32"/>
          <w:szCs w:val="32"/>
        </w:rPr>
        <w:br/>
      </w:r>
      <w:r w:rsidR="00A542B2" w:rsidRPr="006A2DB1">
        <w:rPr>
          <w:rFonts w:cs="Arial"/>
          <w:b/>
          <w:bCs/>
          <w:color w:val="6C2C91"/>
          <w:kern w:val="32"/>
          <w:sz w:val="32"/>
          <w:szCs w:val="32"/>
          <w:lang w:val="en-150"/>
        </w:rPr>
        <w:t>Rehabilitation Workers Professional Network (RWPN)</w:t>
      </w:r>
    </w:p>
    <w:p w14:paraId="3A0EE7A8" w14:textId="77777777" w:rsidR="00FE4756" w:rsidRPr="006A2DB1" w:rsidRDefault="00FE4756" w:rsidP="006A2DB1">
      <w:pPr>
        <w:pStyle w:val="Heading1"/>
        <w:numPr>
          <w:ilvl w:val="0"/>
          <w:numId w:val="0"/>
        </w:numPr>
        <w:spacing w:before="0" w:after="120" w:line="276" w:lineRule="auto"/>
        <w:ind w:left="709" w:hanging="709"/>
        <w:rPr>
          <w:rFonts w:ascii="Arial" w:hAnsi="Arial"/>
          <w:b w:val="0"/>
          <w:sz w:val="28"/>
          <w:szCs w:val="28"/>
        </w:rPr>
      </w:pPr>
      <w:r w:rsidRPr="006A2DB1">
        <w:rPr>
          <w:rFonts w:ascii="Arial" w:hAnsi="Arial"/>
          <w:b w:val="0"/>
          <w:sz w:val="28"/>
          <w:szCs w:val="28"/>
        </w:rPr>
        <w:t>Outcome</w:t>
      </w:r>
    </w:p>
    <w:p w14:paraId="68D9E116" w14:textId="4A2C2C04" w:rsidR="00FE4756" w:rsidRPr="006A2DB1" w:rsidRDefault="00FE4756" w:rsidP="006A2DB1">
      <w:pPr>
        <w:pStyle w:val="Heading2"/>
        <w:tabs>
          <w:tab w:val="clear" w:pos="993"/>
          <w:tab w:val="num" w:pos="709"/>
        </w:tabs>
        <w:spacing w:before="0" w:after="120" w:line="276" w:lineRule="auto"/>
        <w:ind w:left="709"/>
        <w:rPr>
          <w:sz w:val="28"/>
        </w:rPr>
      </w:pPr>
      <w:r w:rsidRPr="006A2DB1">
        <w:rPr>
          <w:sz w:val="28"/>
        </w:rPr>
        <w:t xml:space="preserve">At the </w:t>
      </w:r>
      <w:r w:rsidR="00F22569" w:rsidRPr="006A2DB1">
        <w:rPr>
          <w:sz w:val="28"/>
        </w:rPr>
        <w:t xml:space="preserve">RWPN’s </w:t>
      </w:r>
      <w:r w:rsidR="004F5CD2" w:rsidRPr="006A2DB1">
        <w:rPr>
          <w:sz w:val="28"/>
        </w:rPr>
        <w:t xml:space="preserve">initial </w:t>
      </w:r>
      <w:r w:rsidRPr="006A2DB1">
        <w:rPr>
          <w:sz w:val="28"/>
        </w:rPr>
        <w:t xml:space="preserve">accreditation, the Professional Standards Authority issued </w:t>
      </w:r>
      <w:r w:rsidR="00517E46" w:rsidRPr="006A2DB1">
        <w:rPr>
          <w:sz w:val="28"/>
        </w:rPr>
        <w:t>several</w:t>
      </w:r>
      <w:r w:rsidR="000E3ED4" w:rsidRPr="006A2DB1">
        <w:rPr>
          <w:sz w:val="28"/>
        </w:rPr>
        <w:t xml:space="preserve"> </w:t>
      </w:r>
      <w:r w:rsidRPr="006A2DB1">
        <w:rPr>
          <w:sz w:val="28"/>
        </w:rPr>
        <w:t>Conditions on its accreditation</w:t>
      </w:r>
      <w:r w:rsidR="2D6F0CC8" w:rsidRPr="006A2DB1">
        <w:rPr>
          <w:sz w:val="28"/>
        </w:rPr>
        <w:t>. When the evidence</w:t>
      </w:r>
      <w:r w:rsidR="52A8CEBE" w:rsidRPr="006A2DB1">
        <w:rPr>
          <w:sz w:val="28"/>
        </w:rPr>
        <w:t xml:space="preserve"> for these Conditions</w:t>
      </w:r>
      <w:r w:rsidR="2D6F0CC8" w:rsidRPr="006A2DB1">
        <w:rPr>
          <w:sz w:val="28"/>
        </w:rPr>
        <w:t xml:space="preserve"> was first considered</w:t>
      </w:r>
      <w:r w:rsidR="00C001E4" w:rsidRPr="006A2DB1">
        <w:rPr>
          <w:sz w:val="28"/>
        </w:rPr>
        <w:t xml:space="preserve"> in September 2023</w:t>
      </w:r>
      <w:r w:rsidR="2D6F0CC8" w:rsidRPr="006A2DB1">
        <w:rPr>
          <w:sz w:val="28"/>
        </w:rPr>
        <w:t xml:space="preserve">, </w:t>
      </w:r>
      <w:r w:rsidR="674F4458" w:rsidRPr="006A2DB1">
        <w:rPr>
          <w:sz w:val="28"/>
        </w:rPr>
        <w:t>we found that Conditions 7, 8, 9</w:t>
      </w:r>
      <w:r w:rsidRPr="006A2DB1">
        <w:rPr>
          <w:sz w:val="28"/>
        </w:rPr>
        <w:t xml:space="preserve"> </w:t>
      </w:r>
      <w:r w:rsidR="00832029" w:rsidRPr="006A2DB1">
        <w:rPr>
          <w:sz w:val="28"/>
        </w:rPr>
        <w:t xml:space="preserve">and </w:t>
      </w:r>
      <w:r w:rsidR="674F4458" w:rsidRPr="006A2DB1">
        <w:rPr>
          <w:sz w:val="28"/>
        </w:rPr>
        <w:t>12</w:t>
      </w:r>
      <w:r w:rsidRPr="006A2DB1">
        <w:rPr>
          <w:sz w:val="28"/>
        </w:rPr>
        <w:t xml:space="preserve"> w</w:t>
      </w:r>
      <w:r w:rsidR="00832029" w:rsidRPr="006A2DB1">
        <w:rPr>
          <w:sz w:val="28"/>
        </w:rPr>
        <w:t>ere</w:t>
      </w:r>
      <w:r w:rsidRPr="006A2DB1">
        <w:rPr>
          <w:sz w:val="28"/>
        </w:rPr>
        <w:t xml:space="preserve"> </w:t>
      </w:r>
      <w:r w:rsidR="674F4458" w:rsidRPr="006A2DB1">
        <w:rPr>
          <w:sz w:val="28"/>
        </w:rPr>
        <w:t xml:space="preserve">only partially met, and decided </w:t>
      </w:r>
      <w:r w:rsidRPr="006A2DB1">
        <w:rPr>
          <w:sz w:val="28"/>
        </w:rPr>
        <w:t xml:space="preserve">to </w:t>
      </w:r>
      <w:r w:rsidR="674F4458" w:rsidRPr="006A2DB1">
        <w:rPr>
          <w:sz w:val="28"/>
        </w:rPr>
        <w:t>reissue them</w:t>
      </w:r>
      <w:r w:rsidR="1810F455" w:rsidRPr="006A2DB1">
        <w:rPr>
          <w:sz w:val="28"/>
        </w:rPr>
        <w:t>, newly numbered</w:t>
      </w:r>
      <w:r w:rsidR="07E11F05" w:rsidRPr="006A2DB1">
        <w:rPr>
          <w:sz w:val="28"/>
        </w:rPr>
        <w:t xml:space="preserve"> as Conditions 1 to 4</w:t>
      </w:r>
      <w:r w:rsidRPr="006A2DB1">
        <w:rPr>
          <w:rStyle w:val="FootnoteReference"/>
          <w:sz w:val="28"/>
        </w:rPr>
        <w:footnoteReference w:id="2"/>
      </w:r>
      <w:r w:rsidR="07E11F05" w:rsidRPr="006A2DB1">
        <w:rPr>
          <w:sz w:val="28"/>
        </w:rPr>
        <w:t>.</w:t>
      </w:r>
    </w:p>
    <w:p w14:paraId="099CE6A8" w14:textId="62F42BE3" w:rsidR="00FE4756" w:rsidRPr="006A2DB1" w:rsidRDefault="00FE4756" w:rsidP="006A2DB1">
      <w:pPr>
        <w:pStyle w:val="Heading2"/>
        <w:tabs>
          <w:tab w:val="clear" w:pos="993"/>
          <w:tab w:val="num" w:pos="709"/>
        </w:tabs>
        <w:spacing w:before="0" w:after="120" w:line="276" w:lineRule="auto"/>
        <w:ind w:left="709"/>
        <w:rPr>
          <w:sz w:val="28"/>
        </w:rPr>
      </w:pPr>
      <w:r w:rsidRPr="006A2DB1">
        <w:rPr>
          <w:sz w:val="28"/>
        </w:rPr>
        <w:t xml:space="preserve">This report sets out our assessment of the </w:t>
      </w:r>
      <w:r w:rsidR="4C5DEE28" w:rsidRPr="006A2DB1">
        <w:rPr>
          <w:sz w:val="28"/>
        </w:rPr>
        <w:t>further</w:t>
      </w:r>
      <w:r w:rsidRPr="006A2DB1">
        <w:rPr>
          <w:sz w:val="28"/>
        </w:rPr>
        <w:t xml:space="preserve"> actions taken by the </w:t>
      </w:r>
      <w:r w:rsidR="00832029" w:rsidRPr="006A2DB1">
        <w:rPr>
          <w:sz w:val="28"/>
        </w:rPr>
        <w:t>RWPN</w:t>
      </w:r>
      <w:r w:rsidRPr="006A2DB1">
        <w:rPr>
          <w:sz w:val="28"/>
        </w:rPr>
        <w:t xml:space="preserve"> to satisfy the Condition</w:t>
      </w:r>
      <w:r w:rsidR="28D1B60E" w:rsidRPr="006A2DB1">
        <w:rPr>
          <w:sz w:val="28"/>
        </w:rPr>
        <w:t>s</w:t>
      </w:r>
      <w:r w:rsidRPr="006A2DB1">
        <w:rPr>
          <w:sz w:val="28"/>
        </w:rPr>
        <w:t xml:space="preserve">. </w:t>
      </w:r>
    </w:p>
    <w:p w14:paraId="63497074" w14:textId="3E2964CA" w:rsidR="00FE4756" w:rsidRPr="006A2DB1" w:rsidRDefault="00FE4756" w:rsidP="006A2DB1">
      <w:pPr>
        <w:pStyle w:val="Heading2"/>
        <w:tabs>
          <w:tab w:val="clear" w:pos="993"/>
          <w:tab w:val="num" w:pos="709"/>
        </w:tabs>
        <w:spacing w:before="0" w:after="120" w:line="276" w:lineRule="auto"/>
        <w:ind w:left="709"/>
        <w:rPr>
          <w:sz w:val="28"/>
        </w:rPr>
      </w:pPr>
      <w:r w:rsidRPr="006A2DB1">
        <w:rPr>
          <w:sz w:val="28"/>
        </w:rPr>
        <w:t xml:space="preserve">We found that the </w:t>
      </w:r>
      <w:r w:rsidR="004F5CD2" w:rsidRPr="006A2DB1">
        <w:rPr>
          <w:sz w:val="28"/>
        </w:rPr>
        <w:t>RWPN</w:t>
      </w:r>
      <w:r w:rsidRPr="006A2DB1">
        <w:rPr>
          <w:sz w:val="28"/>
        </w:rPr>
        <w:t xml:space="preserve"> had met</w:t>
      </w:r>
      <w:r w:rsidR="000E3ED4" w:rsidRPr="006A2DB1">
        <w:rPr>
          <w:sz w:val="28"/>
        </w:rPr>
        <w:t xml:space="preserve"> c</w:t>
      </w:r>
      <w:r w:rsidRPr="006A2DB1">
        <w:rPr>
          <w:sz w:val="28"/>
        </w:rPr>
        <w:t>ondition</w:t>
      </w:r>
      <w:r w:rsidR="000E3ED4" w:rsidRPr="006A2DB1">
        <w:rPr>
          <w:sz w:val="28"/>
        </w:rPr>
        <w:t xml:space="preserve">s </w:t>
      </w:r>
      <w:r w:rsidR="081E7340" w:rsidRPr="006A2DB1">
        <w:rPr>
          <w:sz w:val="28"/>
        </w:rPr>
        <w:t>1 to 4</w:t>
      </w:r>
      <w:r w:rsidR="000E3ED4" w:rsidRPr="006A2DB1">
        <w:rPr>
          <w:sz w:val="28"/>
        </w:rPr>
        <w:t>.</w:t>
      </w:r>
    </w:p>
    <w:p w14:paraId="136BFF8A" w14:textId="77777777" w:rsidR="00FE4756" w:rsidRPr="006A2DB1" w:rsidRDefault="00FE4756" w:rsidP="006A2DB1">
      <w:pPr>
        <w:pStyle w:val="Heading1"/>
        <w:numPr>
          <w:ilvl w:val="0"/>
          <w:numId w:val="0"/>
        </w:numPr>
        <w:spacing w:before="0" w:after="120" w:line="276" w:lineRule="auto"/>
        <w:ind w:left="709" w:hanging="709"/>
        <w:rPr>
          <w:rFonts w:ascii="Arial" w:hAnsi="Arial"/>
          <w:bCs w:val="0"/>
          <w:sz w:val="28"/>
          <w:szCs w:val="28"/>
        </w:rPr>
      </w:pPr>
      <w:r w:rsidRPr="006A2DB1">
        <w:rPr>
          <w:rFonts w:ascii="Arial" w:hAnsi="Arial"/>
          <w:bCs w:val="0"/>
          <w:sz w:val="28"/>
          <w:szCs w:val="28"/>
        </w:rPr>
        <w:t>Background</w:t>
      </w:r>
    </w:p>
    <w:p w14:paraId="23CD9B80" w14:textId="77777777" w:rsidR="008874B4" w:rsidRPr="006A2DB1" w:rsidRDefault="008874B4" w:rsidP="006A2DB1">
      <w:pPr>
        <w:pStyle w:val="ListParagraph"/>
        <w:keepNext/>
        <w:numPr>
          <w:ilvl w:val="0"/>
          <w:numId w:val="1"/>
        </w:numPr>
        <w:spacing w:after="120" w:line="276" w:lineRule="auto"/>
        <w:contextualSpacing w:val="0"/>
        <w:outlineLvl w:val="0"/>
        <w:rPr>
          <w:rFonts w:cs="Arial"/>
          <w:b/>
          <w:bCs/>
          <w:vanish/>
          <w:kern w:val="32"/>
          <w:sz w:val="28"/>
          <w:szCs w:val="28"/>
        </w:rPr>
      </w:pPr>
      <w:bookmarkStart w:id="0" w:name="_Hlk81551980"/>
    </w:p>
    <w:p w14:paraId="2761E76C" w14:textId="07D57A9D" w:rsidR="00FE4756" w:rsidRPr="006A2DB1" w:rsidRDefault="00FE4756" w:rsidP="006A2DB1">
      <w:pPr>
        <w:pStyle w:val="Heading2"/>
        <w:tabs>
          <w:tab w:val="num" w:pos="1255"/>
        </w:tabs>
        <w:spacing w:before="0" w:after="120" w:line="276" w:lineRule="auto"/>
        <w:ind w:left="709"/>
        <w:rPr>
          <w:sz w:val="28"/>
        </w:rPr>
      </w:pPr>
      <w:r w:rsidRPr="006A2DB1">
        <w:rPr>
          <w:sz w:val="28"/>
        </w:rPr>
        <w:t xml:space="preserve">We </w:t>
      </w:r>
      <w:bookmarkEnd w:id="0"/>
      <w:r w:rsidRPr="006A2DB1">
        <w:rPr>
          <w:sz w:val="28"/>
        </w:rPr>
        <w:t xml:space="preserve">assess registers against our </w:t>
      </w:r>
      <w:r w:rsidRPr="006A2DB1">
        <w:rPr>
          <w:i/>
          <w:sz w:val="28"/>
        </w:rPr>
        <w:t>Standards for Accredited Registers</w:t>
      </w:r>
      <w:r w:rsidRPr="006A2DB1">
        <w:rPr>
          <w:sz w:val="28"/>
        </w:rPr>
        <w:t xml:space="preserve"> (‘the Standards’)</w:t>
      </w:r>
      <w:r w:rsidRPr="006A2DB1">
        <w:rPr>
          <w:rStyle w:val="FootnoteReference"/>
          <w:sz w:val="28"/>
        </w:rPr>
        <w:footnoteReference w:id="3"/>
      </w:r>
      <w:r w:rsidR="00832029" w:rsidRPr="006A2DB1">
        <w:rPr>
          <w:sz w:val="28"/>
        </w:rPr>
        <w:t xml:space="preserve"> </w:t>
      </w:r>
      <w:r w:rsidRPr="006A2DB1">
        <w:rPr>
          <w:sz w:val="28"/>
        </w:rPr>
        <w:t xml:space="preserve"> Where a Register has not met a Standard, we can issue Conditions. A Condition sets out the requirements and the timeframe that a Register must meet. </w:t>
      </w:r>
    </w:p>
    <w:p w14:paraId="41C5E5EF" w14:textId="00746004" w:rsidR="00FE4756" w:rsidRPr="006A2DB1" w:rsidRDefault="00FE4756" w:rsidP="006A2DB1">
      <w:pPr>
        <w:pStyle w:val="Heading2"/>
        <w:tabs>
          <w:tab w:val="clear" w:pos="993"/>
          <w:tab w:val="num" w:pos="709"/>
        </w:tabs>
        <w:spacing w:before="0" w:after="120" w:line="276" w:lineRule="auto"/>
        <w:ind w:left="709"/>
        <w:rPr>
          <w:sz w:val="28"/>
        </w:rPr>
      </w:pPr>
      <w:r w:rsidRPr="006A2DB1">
        <w:rPr>
          <w:sz w:val="28"/>
        </w:rPr>
        <w:t xml:space="preserve">At </w:t>
      </w:r>
      <w:r w:rsidR="00832029" w:rsidRPr="006A2DB1">
        <w:rPr>
          <w:sz w:val="28"/>
        </w:rPr>
        <w:t xml:space="preserve">the </w:t>
      </w:r>
      <w:r w:rsidR="004F5CD2" w:rsidRPr="006A2DB1">
        <w:rPr>
          <w:sz w:val="28"/>
        </w:rPr>
        <w:t>RWPN</w:t>
      </w:r>
      <w:r w:rsidRPr="006A2DB1">
        <w:rPr>
          <w:sz w:val="28"/>
        </w:rPr>
        <w:t xml:space="preserve">’s initial accreditation, completed in </w:t>
      </w:r>
      <w:r w:rsidR="00832029" w:rsidRPr="006A2DB1">
        <w:rPr>
          <w:sz w:val="28"/>
        </w:rPr>
        <w:t>March 2022</w:t>
      </w:r>
      <w:r w:rsidRPr="006A2DB1">
        <w:rPr>
          <w:sz w:val="28"/>
        </w:rPr>
        <w:t xml:space="preserve">, we issued Conditions </w:t>
      </w:r>
      <w:r w:rsidR="00225379" w:rsidRPr="006A2DB1">
        <w:rPr>
          <w:sz w:val="28"/>
        </w:rPr>
        <w:t xml:space="preserve">on its accreditation </w:t>
      </w:r>
      <w:r w:rsidRPr="006A2DB1">
        <w:rPr>
          <w:sz w:val="28"/>
        </w:rPr>
        <w:t xml:space="preserve">(a full list is published on the </w:t>
      </w:r>
      <w:r w:rsidR="004F5CD2" w:rsidRPr="006A2DB1">
        <w:rPr>
          <w:sz w:val="28"/>
        </w:rPr>
        <w:t>RWPN</w:t>
      </w:r>
      <w:r w:rsidRPr="006A2DB1">
        <w:rPr>
          <w:sz w:val="28"/>
        </w:rPr>
        <w:t xml:space="preserve">’s directory page </w:t>
      </w:r>
      <w:r w:rsidR="00832029" w:rsidRPr="006A2DB1">
        <w:rPr>
          <w:sz w:val="28"/>
        </w:rPr>
        <w:t>rehabilitation-workers-professional-network-accreditation-decision.docx (live.co</w:t>
      </w:r>
      <w:r w:rsidR="4FEB5C5D" w:rsidRPr="006A2DB1">
        <w:rPr>
          <w:sz w:val="28"/>
        </w:rPr>
        <w:t xml:space="preserve">m). </w:t>
      </w:r>
    </w:p>
    <w:p w14:paraId="0467EB2A" w14:textId="5527C261" w:rsidR="00FE4756" w:rsidRPr="006A2DB1" w:rsidRDefault="4FEB5C5D" w:rsidP="006A2DB1">
      <w:pPr>
        <w:pStyle w:val="Heading2"/>
        <w:tabs>
          <w:tab w:val="clear" w:pos="993"/>
          <w:tab w:val="num" w:pos="709"/>
        </w:tabs>
        <w:spacing w:before="0" w:after="120" w:line="276" w:lineRule="auto"/>
        <w:ind w:left="709"/>
        <w:rPr>
          <w:sz w:val="28"/>
        </w:rPr>
      </w:pPr>
      <w:r w:rsidRPr="006A2DB1">
        <w:rPr>
          <w:sz w:val="28"/>
        </w:rPr>
        <w:t>When the evidence for these Conditions was first considered in September 2023, we found that Conditions 7, 8, 9 and 12 were only partially met, and decided to reissue them,</w:t>
      </w:r>
      <w:r w:rsidR="62BF2963" w:rsidRPr="006A2DB1">
        <w:rPr>
          <w:sz w:val="28"/>
        </w:rPr>
        <w:t xml:space="preserve"> with some minor revisions to reflect work achieved to date. These were issued as the</w:t>
      </w:r>
      <w:r w:rsidRPr="006A2DB1">
        <w:rPr>
          <w:sz w:val="28"/>
        </w:rPr>
        <w:t xml:space="preserve"> newly numbered as Conditions 1 to 4</w:t>
      </w:r>
      <w:r w:rsidR="77D36BC4" w:rsidRPr="006A2DB1">
        <w:rPr>
          <w:sz w:val="28"/>
        </w:rPr>
        <w:t>, as below</w:t>
      </w:r>
      <w:r w:rsidRPr="006A2DB1">
        <w:rPr>
          <w:sz w:val="28"/>
        </w:rPr>
        <w:t xml:space="preserve">: </w:t>
      </w:r>
    </w:p>
    <w:p w14:paraId="4A40108B" w14:textId="24BF758D" w:rsidR="00FE4756" w:rsidRPr="006A2DB1" w:rsidRDefault="28A84817" w:rsidP="006A2DB1">
      <w:pPr>
        <w:pStyle w:val="ListParagraph"/>
        <w:numPr>
          <w:ilvl w:val="1"/>
          <w:numId w:val="6"/>
        </w:numPr>
        <w:spacing w:after="120" w:line="276" w:lineRule="auto"/>
        <w:ind w:left="1134"/>
        <w:rPr>
          <w:rFonts w:cs="Arial"/>
          <w:sz w:val="28"/>
          <w:szCs w:val="28"/>
        </w:rPr>
      </w:pPr>
      <w:r w:rsidRPr="006A2DB1">
        <w:rPr>
          <w:rFonts w:cs="Arial"/>
          <w:b/>
          <w:bCs/>
          <w:sz w:val="28"/>
          <w:szCs w:val="28"/>
        </w:rPr>
        <w:t>Condition 1:</w:t>
      </w:r>
      <w:r w:rsidRPr="006A2DB1">
        <w:rPr>
          <w:rFonts w:cs="Arial"/>
          <w:sz w:val="28"/>
          <w:szCs w:val="28"/>
        </w:rPr>
        <w:t xml:space="preserve"> The RWPN should publish its processes for registration and renewal, (including information about the </w:t>
      </w:r>
      <w:r w:rsidRPr="006A2DB1">
        <w:rPr>
          <w:rFonts w:cs="Arial"/>
          <w:sz w:val="28"/>
          <w:szCs w:val="28"/>
        </w:rPr>
        <w:lastRenderedPageBreak/>
        <w:t>decision makers) and update the information on its website to make clear what its registration requirements are for the public. The RWPN should develop a policy for assessing applicants who have trained with another provider for example those who have studied abroad.</w:t>
      </w:r>
    </w:p>
    <w:p w14:paraId="593E44CC" w14:textId="4E8DE2F2" w:rsidR="00FE4756" w:rsidRPr="006A2DB1" w:rsidRDefault="28A84817" w:rsidP="006A2DB1">
      <w:pPr>
        <w:pStyle w:val="ListParagraph"/>
        <w:numPr>
          <w:ilvl w:val="1"/>
          <w:numId w:val="6"/>
        </w:numPr>
        <w:spacing w:after="120" w:line="276" w:lineRule="auto"/>
        <w:ind w:left="1134"/>
        <w:rPr>
          <w:rFonts w:cs="Arial"/>
          <w:sz w:val="28"/>
          <w:szCs w:val="28"/>
        </w:rPr>
      </w:pPr>
      <w:r w:rsidRPr="006A2DB1">
        <w:rPr>
          <w:rFonts w:cs="Arial"/>
          <w:b/>
          <w:bCs/>
          <w:sz w:val="28"/>
          <w:szCs w:val="28"/>
        </w:rPr>
        <w:t>Condition 2:</w:t>
      </w:r>
      <w:r w:rsidRPr="006A2DB1">
        <w:rPr>
          <w:rFonts w:cs="Arial"/>
          <w:sz w:val="28"/>
          <w:szCs w:val="28"/>
        </w:rPr>
        <w:t xml:space="preserve"> The RWPN should develop of policy for handling positive declarations.</w:t>
      </w:r>
    </w:p>
    <w:p w14:paraId="3947974C" w14:textId="74415212" w:rsidR="00FE4756" w:rsidRPr="006A2DB1" w:rsidRDefault="28A84817" w:rsidP="006A2DB1">
      <w:pPr>
        <w:pStyle w:val="ListParagraph"/>
        <w:numPr>
          <w:ilvl w:val="1"/>
          <w:numId w:val="6"/>
        </w:numPr>
        <w:spacing w:after="120" w:line="276" w:lineRule="auto"/>
        <w:ind w:left="1134"/>
        <w:rPr>
          <w:rFonts w:cs="Arial"/>
          <w:sz w:val="28"/>
          <w:szCs w:val="28"/>
        </w:rPr>
      </w:pPr>
      <w:r w:rsidRPr="006A2DB1">
        <w:rPr>
          <w:rFonts w:cs="Arial"/>
          <w:b/>
          <w:bCs/>
          <w:sz w:val="28"/>
          <w:szCs w:val="28"/>
        </w:rPr>
        <w:t>Condition 3:</w:t>
      </w:r>
      <w:r w:rsidRPr="006A2DB1">
        <w:rPr>
          <w:rFonts w:cs="Arial"/>
          <w:sz w:val="28"/>
          <w:szCs w:val="28"/>
        </w:rPr>
        <w:t xml:space="preserve"> The RWPN should develop and publish an appeal policy for registration decisions.</w:t>
      </w:r>
    </w:p>
    <w:p w14:paraId="71DABF33" w14:textId="443472E4" w:rsidR="00FE4756" w:rsidRPr="006A2DB1" w:rsidRDefault="00FE4756" w:rsidP="006A2DB1">
      <w:pPr>
        <w:pStyle w:val="Heading2"/>
        <w:tabs>
          <w:tab w:val="clear" w:pos="993"/>
          <w:tab w:val="num" w:pos="709"/>
        </w:tabs>
        <w:spacing w:before="0" w:after="120" w:line="276" w:lineRule="auto"/>
        <w:ind w:left="709"/>
        <w:rPr>
          <w:sz w:val="28"/>
        </w:rPr>
      </w:pPr>
      <w:r w:rsidRPr="006A2DB1">
        <w:rPr>
          <w:sz w:val="28"/>
        </w:rPr>
        <w:t xml:space="preserve">This report discusses the actions </w:t>
      </w:r>
      <w:r w:rsidR="004F5CD2" w:rsidRPr="006A2DB1">
        <w:rPr>
          <w:sz w:val="28"/>
        </w:rPr>
        <w:t>RWPN</w:t>
      </w:r>
      <w:r w:rsidRPr="006A2DB1">
        <w:rPr>
          <w:sz w:val="28"/>
        </w:rPr>
        <w:t xml:space="preserve"> took to address the Condition, as well as our decision about whether the Condition is met. </w:t>
      </w:r>
    </w:p>
    <w:p w14:paraId="096DF6F6" w14:textId="2FD98967" w:rsidR="00FE4756" w:rsidRPr="006A2DB1" w:rsidRDefault="00FE4756" w:rsidP="006A2DB1">
      <w:pPr>
        <w:pStyle w:val="Heading2"/>
        <w:tabs>
          <w:tab w:val="clear" w:pos="993"/>
          <w:tab w:val="num" w:pos="709"/>
        </w:tabs>
        <w:spacing w:before="0" w:after="120" w:line="276" w:lineRule="auto"/>
        <w:ind w:left="709"/>
        <w:rPr>
          <w:sz w:val="28"/>
        </w:rPr>
      </w:pPr>
      <w:r w:rsidRPr="006A2DB1">
        <w:rPr>
          <w:sz w:val="28"/>
        </w:rPr>
        <w:t>We reviewed the following evidence</w:t>
      </w:r>
      <w:r w:rsidR="4E9F3756" w:rsidRPr="006A2DB1">
        <w:rPr>
          <w:sz w:val="28"/>
        </w:rPr>
        <w:t xml:space="preserve"> in determining whether the Conditions had been met</w:t>
      </w:r>
      <w:r w:rsidRPr="006A2DB1">
        <w:rPr>
          <w:sz w:val="28"/>
        </w:rPr>
        <w:t>:</w:t>
      </w:r>
    </w:p>
    <w:p w14:paraId="5AA7EC12" w14:textId="2FF52813" w:rsidR="00FE4756" w:rsidRPr="006A2DB1" w:rsidRDefault="714AFD78" w:rsidP="006A2DB1">
      <w:pPr>
        <w:pStyle w:val="Heading2"/>
        <w:numPr>
          <w:ilvl w:val="0"/>
          <w:numId w:val="2"/>
        </w:numPr>
        <w:tabs>
          <w:tab w:val="num" w:pos="360"/>
        </w:tabs>
        <w:spacing w:before="0" w:after="120" w:line="276" w:lineRule="auto"/>
        <w:ind w:left="1418" w:hanging="709"/>
        <w:rPr>
          <w:sz w:val="28"/>
        </w:rPr>
      </w:pPr>
      <w:r w:rsidRPr="006A2DB1">
        <w:rPr>
          <w:iCs w:val="0"/>
          <w:sz w:val="28"/>
        </w:rPr>
        <w:t xml:space="preserve">The </w:t>
      </w:r>
      <w:r w:rsidR="004F5CD2" w:rsidRPr="006A2DB1">
        <w:rPr>
          <w:sz w:val="28"/>
        </w:rPr>
        <w:t>RWPN</w:t>
      </w:r>
      <w:r w:rsidR="00FE4756" w:rsidRPr="006A2DB1">
        <w:rPr>
          <w:sz w:val="28"/>
        </w:rPr>
        <w:t xml:space="preserve">’s reported actions about what it had done to meet </w:t>
      </w:r>
      <w:r w:rsidR="00995B73" w:rsidRPr="006A2DB1">
        <w:rPr>
          <w:sz w:val="28"/>
        </w:rPr>
        <w:t xml:space="preserve">the </w:t>
      </w:r>
      <w:r w:rsidR="00FE4756" w:rsidRPr="006A2DB1">
        <w:rPr>
          <w:sz w:val="28"/>
        </w:rPr>
        <w:t>Condition</w:t>
      </w:r>
      <w:r w:rsidR="00995B73" w:rsidRPr="006A2DB1">
        <w:rPr>
          <w:sz w:val="28"/>
        </w:rPr>
        <w:t>s.</w:t>
      </w:r>
      <w:r w:rsidR="00FE4756" w:rsidRPr="006A2DB1">
        <w:rPr>
          <w:sz w:val="28"/>
        </w:rPr>
        <w:t xml:space="preserve"> </w:t>
      </w:r>
    </w:p>
    <w:p w14:paraId="77184AEC" w14:textId="32A231AA" w:rsidR="00FE4756" w:rsidRPr="006A2DB1" w:rsidRDefault="00995B73" w:rsidP="006A2DB1">
      <w:pPr>
        <w:pStyle w:val="Heading2"/>
        <w:numPr>
          <w:ilvl w:val="0"/>
          <w:numId w:val="2"/>
        </w:numPr>
        <w:tabs>
          <w:tab w:val="num" w:pos="360"/>
        </w:tabs>
        <w:spacing w:before="0" w:after="120" w:line="276" w:lineRule="auto"/>
        <w:ind w:left="1418" w:hanging="709"/>
        <w:rPr>
          <w:sz w:val="28"/>
        </w:rPr>
      </w:pPr>
      <w:r w:rsidRPr="006A2DB1">
        <w:rPr>
          <w:sz w:val="28"/>
        </w:rPr>
        <w:t xml:space="preserve">The </w:t>
      </w:r>
      <w:r w:rsidRPr="006A2DB1">
        <w:rPr>
          <w:iCs w:val="0"/>
          <w:sz w:val="28"/>
        </w:rPr>
        <w:t>RWPN</w:t>
      </w:r>
      <w:r w:rsidR="0A6448D9" w:rsidRPr="006A2DB1">
        <w:rPr>
          <w:iCs w:val="0"/>
          <w:sz w:val="28"/>
        </w:rPr>
        <w:t>’s</w:t>
      </w:r>
      <w:r w:rsidRPr="006A2DB1">
        <w:rPr>
          <w:sz w:val="28"/>
        </w:rPr>
        <w:t xml:space="preserve"> Indicative Resolutions and Sanctions Guidance</w:t>
      </w:r>
    </w:p>
    <w:p w14:paraId="02536577" w14:textId="55413F6B" w:rsidR="00995B73" w:rsidRPr="006A2DB1" w:rsidRDefault="00995B73" w:rsidP="006A2DB1">
      <w:pPr>
        <w:pStyle w:val="Heading2"/>
        <w:numPr>
          <w:ilvl w:val="0"/>
          <w:numId w:val="2"/>
        </w:numPr>
        <w:tabs>
          <w:tab w:val="num" w:pos="360"/>
        </w:tabs>
        <w:spacing w:before="0" w:after="120" w:line="276" w:lineRule="auto"/>
        <w:ind w:left="1418" w:hanging="709"/>
        <w:rPr>
          <w:sz w:val="28"/>
        </w:rPr>
      </w:pPr>
      <w:r w:rsidRPr="006A2DB1">
        <w:rPr>
          <w:sz w:val="28"/>
        </w:rPr>
        <w:t xml:space="preserve">The </w:t>
      </w:r>
      <w:r w:rsidRPr="006A2DB1">
        <w:rPr>
          <w:iCs w:val="0"/>
          <w:sz w:val="28"/>
        </w:rPr>
        <w:t>RWPN</w:t>
      </w:r>
      <w:r w:rsidR="330A2B84" w:rsidRPr="006A2DB1">
        <w:rPr>
          <w:iCs w:val="0"/>
          <w:sz w:val="28"/>
        </w:rPr>
        <w:t>’s</w:t>
      </w:r>
      <w:r w:rsidRPr="006A2DB1">
        <w:rPr>
          <w:sz w:val="28"/>
        </w:rPr>
        <w:t xml:space="preserve"> Registration and renewal Policy</w:t>
      </w:r>
    </w:p>
    <w:p w14:paraId="79FF3E83" w14:textId="334FB707" w:rsidR="00FE4756" w:rsidRPr="006A2DB1" w:rsidRDefault="00FE4756" w:rsidP="006A2DB1">
      <w:pPr>
        <w:pStyle w:val="Heading1"/>
        <w:numPr>
          <w:ilvl w:val="0"/>
          <w:numId w:val="0"/>
        </w:numPr>
        <w:spacing w:before="0" w:after="120" w:line="276" w:lineRule="auto"/>
        <w:rPr>
          <w:rFonts w:ascii="Arial" w:hAnsi="Arial"/>
          <w:sz w:val="28"/>
          <w:szCs w:val="28"/>
        </w:rPr>
      </w:pPr>
      <w:r w:rsidRPr="006A2DB1">
        <w:rPr>
          <w:rFonts w:ascii="Arial" w:hAnsi="Arial"/>
          <w:sz w:val="28"/>
          <w:szCs w:val="28"/>
        </w:rPr>
        <w:t>Concerns leading to the Condition</w:t>
      </w:r>
      <w:r w:rsidR="06717EFF" w:rsidRPr="006A2DB1">
        <w:rPr>
          <w:rFonts w:ascii="Arial" w:hAnsi="Arial"/>
          <w:sz w:val="28"/>
          <w:szCs w:val="28"/>
        </w:rPr>
        <w:t>s</w:t>
      </w:r>
    </w:p>
    <w:p w14:paraId="3141FF1E" w14:textId="77777777" w:rsidR="00826883" w:rsidRPr="006A2DB1" w:rsidRDefault="00826883" w:rsidP="006A2DB1">
      <w:pPr>
        <w:pStyle w:val="ListParagraph"/>
        <w:keepNext/>
        <w:numPr>
          <w:ilvl w:val="0"/>
          <w:numId w:val="1"/>
        </w:numPr>
        <w:spacing w:after="120" w:line="276" w:lineRule="auto"/>
        <w:contextualSpacing w:val="0"/>
        <w:outlineLvl w:val="0"/>
        <w:rPr>
          <w:rFonts w:cs="Arial"/>
          <w:b/>
          <w:bCs/>
          <w:vanish/>
          <w:kern w:val="32"/>
          <w:sz w:val="28"/>
          <w:szCs w:val="28"/>
        </w:rPr>
      </w:pPr>
    </w:p>
    <w:p w14:paraId="23A449E9" w14:textId="09A2451C" w:rsidR="00AC0725" w:rsidRPr="006A2DB1" w:rsidRDefault="00AC0725" w:rsidP="006A2DB1">
      <w:pPr>
        <w:pStyle w:val="Heading2"/>
        <w:tabs>
          <w:tab w:val="num" w:pos="1255"/>
        </w:tabs>
        <w:spacing w:before="0" w:after="120" w:line="276" w:lineRule="auto"/>
        <w:ind w:left="709"/>
        <w:rPr>
          <w:sz w:val="28"/>
        </w:rPr>
      </w:pPr>
      <w:r w:rsidRPr="006A2DB1">
        <w:rPr>
          <w:sz w:val="28"/>
        </w:rPr>
        <w:t>At its initial accreditation we noted that the RWPN has processes in place for assuring itself that registrants meet its standards for registration. The RWPN requires registrants to provide evidence of qualifications and has a policy in place for those who have completed accepted training but who cannot provide certificates. However, the RWPN did not have a formal process in place for assessing people who have applied with certificates from other providers such as those who have trained overseas. It had not published information about its application and renewals processes and d</w:t>
      </w:r>
      <w:r w:rsidR="39F88D63" w:rsidRPr="006A2DB1">
        <w:rPr>
          <w:sz w:val="28"/>
        </w:rPr>
        <w:t>id</w:t>
      </w:r>
      <w:r w:rsidRPr="006A2DB1">
        <w:rPr>
          <w:sz w:val="28"/>
        </w:rPr>
        <w:t xml:space="preserve"> not have a </w:t>
      </w:r>
      <w:r w:rsidR="7D792EE2" w:rsidRPr="006A2DB1">
        <w:rPr>
          <w:sz w:val="28"/>
        </w:rPr>
        <w:t>mechanism</w:t>
      </w:r>
      <w:r w:rsidRPr="006A2DB1">
        <w:rPr>
          <w:sz w:val="28"/>
        </w:rPr>
        <w:t xml:space="preserve"> for </w:t>
      </w:r>
      <w:r w:rsidR="7D792EE2" w:rsidRPr="006A2DB1">
        <w:rPr>
          <w:sz w:val="28"/>
        </w:rPr>
        <w:t xml:space="preserve">appealing </w:t>
      </w:r>
      <w:r w:rsidRPr="006A2DB1">
        <w:rPr>
          <w:sz w:val="28"/>
        </w:rPr>
        <w:t xml:space="preserve">registration decisions. </w:t>
      </w:r>
    </w:p>
    <w:p w14:paraId="2A363E49" w14:textId="73730D02" w:rsidR="00AC0725" w:rsidRPr="006A2DB1" w:rsidRDefault="00AC0725" w:rsidP="006A2DB1">
      <w:pPr>
        <w:pStyle w:val="Heading2"/>
        <w:tabs>
          <w:tab w:val="num" w:pos="1255"/>
        </w:tabs>
        <w:spacing w:before="0" w:after="120" w:line="276" w:lineRule="auto"/>
        <w:ind w:left="709"/>
        <w:rPr>
          <w:sz w:val="28"/>
        </w:rPr>
      </w:pPr>
      <w:r w:rsidRPr="006A2DB1">
        <w:rPr>
          <w:sz w:val="28"/>
        </w:rPr>
        <w:t xml:space="preserve">At its initial accreditation, we noted the RWPN required applicants and renewing registrants to sign to say that they have read and understood its </w:t>
      </w:r>
      <w:r w:rsidRPr="006A2DB1">
        <w:rPr>
          <w:i/>
          <w:iCs w:val="0"/>
          <w:sz w:val="28"/>
        </w:rPr>
        <w:t>Code of Ethics and Professional Conduct</w:t>
      </w:r>
      <w:r w:rsidRPr="006A2DB1">
        <w:rPr>
          <w:sz w:val="28"/>
        </w:rPr>
        <w:t xml:space="preserve"> but did not ask</w:t>
      </w:r>
      <w:r w:rsidR="74FA625C" w:rsidRPr="006A2DB1">
        <w:rPr>
          <w:sz w:val="28"/>
        </w:rPr>
        <w:t xml:space="preserve"> about</w:t>
      </w:r>
      <w:r w:rsidRPr="006A2DB1">
        <w:rPr>
          <w:sz w:val="28"/>
        </w:rPr>
        <w:t xml:space="preserve"> any other declarations. </w:t>
      </w:r>
    </w:p>
    <w:p w14:paraId="12C2A4BA" w14:textId="77777777" w:rsidR="00AC0725" w:rsidRPr="006A2DB1" w:rsidRDefault="00AC0725" w:rsidP="006A2DB1">
      <w:pPr>
        <w:pStyle w:val="Heading2"/>
        <w:tabs>
          <w:tab w:val="num" w:pos="1255"/>
        </w:tabs>
        <w:spacing w:before="0" w:after="120" w:line="276" w:lineRule="auto"/>
        <w:ind w:left="709"/>
        <w:rPr>
          <w:sz w:val="28"/>
        </w:rPr>
      </w:pPr>
      <w:r w:rsidRPr="006A2DB1">
        <w:rPr>
          <w:sz w:val="28"/>
        </w:rPr>
        <w:lastRenderedPageBreak/>
        <w:t xml:space="preserve">At its initial accreditation, we noted the Initial Investigation Panel may issue resolutions to the registrant who is subject to a complaint where they have found that a case is upheld but where they have decided not to submit to the Professional Conduct Panel. These resolutions were not published. The Accreditation Panel suggested that the RWPN should consider whether it’s in the public interest to publish resolutions. The Panel noted that the Indicative Resolutions and Sanctions Guidance could include more flexibility, for example publishing the outcomes of the IIP when it is in the public interest or when the RWPN wants to send a message to the membership.  </w:t>
      </w:r>
    </w:p>
    <w:p w14:paraId="5645E74E" w14:textId="62A9136D" w:rsidR="00FE4756" w:rsidRPr="006A2DB1" w:rsidRDefault="00FE4756" w:rsidP="006A2DB1">
      <w:pPr>
        <w:pStyle w:val="Heading1"/>
        <w:numPr>
          <w:ilvl w:val="0"/>
          <w:numId w:val="0"/>
        </w:numPr>
        <w:spacing w:before="0" w:after="120" w:line="276" w:lineRule="auto"/>
        <w:ind w:left="709" w:hanging="709"/>
        <w:rPr>
          <w:rFonts w:ascii="Arial" w:hAnsi="Arial"/>
          <w:sz w:val="28"/>
          <w:szCs w:val="28"/>
        </w:rPr>
      </w:pPr>
      <w:r w:rsidRPr="006A2DB1">
        <w:rPr>
          <w:rFonts w:ascii="Arial" w:hAnsi="Arial"/>
          <w:sz w:val="28"/>
          <w:szCs w:val="28"/>
        </w:rPr>
        <w:t xml:space="preserve">Assessment of </w:t>
      </w:r>
      <w:r w:rsidR="7605F654" w:rsidRPr="006A2DB1">
        <w:rPr>
          <w:rFonts w:ascii="Arial" w:hAnsi="Arial"/>
          <w:sz w:val="28"/>
          <w:szCs w:val="28"/>
        </w:rPr>
        <w:t xml:space="preserve">the </w:t>
      </w:r>
      <w:r w:rsidRPr="006A2DB1">
        <w:rPr>
          <w:rFonts w:ascii="Arial" w:hAnsi="Arial"/>
          <w:sz w:val="28"/>
          <w:szCs w:val="28"/>
        </w:rPr>
        <w:t>Condition</w:t>
      </w:r>
      <w:r w:rsidR="39B0D2FB" w:rsidRPr="006A2DB1">
        <w:rPr>
          <w:rFonts w:ascii="Arial" w:hAnsi="Arial"/>
          <w:sz w:val="28"/>
          <w:szCs w:val="28"/>
        </w:rPr>
        <w:t>s</w:t>
      </w:r>
    </w:p>
    <w:p w14:paraId="190EC500" w14:textId="77777777" w:rsidR="00970958" w:rsidRPr="006A2DB1" w:rsidRDefault="00970958" w:rsidP="006A2DB1">
      <w:pPr>
        <w:pStyle w:val="ListParagraph"/>
        <w:keepNext/>
        <w:numPr>
          <w:ilvl w:val="0"/>
          <w:numId w:val="1"/>
        </w:numPr>
        <w:spacing w:after="120" w:line="276" w:lineRule="auto"/>
        <w:contextualSpacing w:val="0"/>
        <w:outlineLvl w:val="0"/>
        <w:rPr>
          <w:rFonts w:cs="Arial"/>
          <w:b/>
          <w:bCs/>
          <w:vanish/>
          <w:kern w:val="32"/>
          <w:sz w:val="28"/>
          <w:szCs w:val="28"/>
        </w:rPr>
      </w:pPr>
    </w:p>
    <w:p w14:paraId="52C77F84" w14:textId="2813C239" w:rsidR="00FE4756" w:rsidRPr="006A2DB1" w:rsidRDefault="00FE4756" w:rsidP="006A2DB1">
      <w:pPr>
        <w:pStyle w:val="Heading2"/>
        <w:tabs>
          <w:tab w:val="num" w:pos="1255"/>
        </w:tabs>
        <w:spacing w:before="0" w:after="120" w:line="276" w:lineRule="auto"/>
        <w:ind w:left="709"/>
        <w:rPr>
          <w:sz w:val="28"/>
        </w:rPr>
      </w:pPr>
      <w:r w:rsidRPr="006A2DB1">
        <w:rPr>
          <w:sz w:val="28"/>
        </w:rPr>
        <w:t xml:space="preserve">The </w:t>
      </w:r>
      <w:r w:rsidR="004F5CD2" w:rsidRPr="006A2DB1">
        <w:rPr>
          <w:sz w:val="28"/>
        </w:rPr>
        <w:t>RWPN</w:t>
      </w:r>
      <w:r w:rsidRPr="006A2DB1">
        <w:rPr>
          <w:sz w:val="28"/>
        </w:rPr>
        <w:t xml:space="preserve"> provided its response to the Condition</w:t>
      </w:r>
      <w:r w:rsidR="00705212" w:rsidRPr="006A2DB1">
        <w:rPr>
          <w:sz w:val="28"/>
        </w:rPr>
        <w:t>s</w:t>
      </w:r>
      <w:r w:rsidRPr="006A2DB1">
        <w:rPr>
          <w:sz w:val="28"/>
        </w:rPr>
        <w:t xml:space="preserve"> on </w:t>
      </w:r>
      <w:r w:rsidR="00513E50" w:rsidRPr="006A2DB1">
        <w:rPr>
          <w:sz w:val="28"/>
        </w:rPr>
        <w:t>15 January 2024</w:t>
      </w:r>
      <w:r w:rsidRPr="006A2DB1">
        <w:rPr>
          <w:sz w:val="28"/>
        </w:rPr>
        <w:t xml:space="preserve">. </w:t>
      </w:r>
    </w:p>
    <w:p w14:paraId="208B791F" w14:textId="24BF758D" w:rsidR="266A86E0" w:rsidRPr="006A2DB1" w:rsidRDefault="266A86E0" w:rsidP="006A2DB1">
      <w:pPr>
        <w:pStyle w:val="ListParagraph"/>
        <w:numPr>
          <w:ilvl w:val="1"/>
          <w:numId w:val="6"/>
        </w:numPr>
        <w:spacing w:after="120" w:line="276" w:lineRule="auto"/>
        <w:ind w:left="1134"/>
        <w:rPr>
          <w:rFonts w:cs="Arial"/>
          <w:sz w:val="28"/>
          <w:szCs w:val="28"/>
        </w:rPr>
      </w:pPr>
      <w:r w:rsidRPr="006A2DB1">
        <w:rPr>
          <w:rFonts w:cs="Arial"/>
          <w:b/>
          <w:bCs/>
          <w:sz w:val="28"/>
          <w:szCs w:val="28"/>
        </w:rPr>
        <w:t>Condition 1:</w:t>
      </w:r>
      <w:r w:rsidRPr="006A2DB1">
        <w:rPr>
          <w:rFonts w:cs="Arial"/>
          <w:sz w:val="28"/>
          <w:szCs w:val="28"/>
        </w:rPr>
        <w:t xml:space="preserve"> The RWPN should publish its processes for registration and renewal, (including information about the decision makers) and update the information on its website to make clear what its registration requirements are for the public. The RWPN should develop a policy for assessing applicants who have trained with another provider for example those who have studied abroad.</w:t>
      </w:r>
    </w:p>
    <w:p w14:paraId="3AFC9DE5" w14:textId="2804A07B" w:rsidR="003C01C5" w:rsidRPr="006A2DB1" w:rsidRDefault="00233687" w:rsidP="006A2DB1">
      <w:pPr>
        <w:pStyle w:val="Heading2"/>
        <w:tabs>
          <w:tab w:val="num" w:pos="1255"/>
        </w:tabs>
        <w:spacing w:before="0" w:after="120" w:line="276" w:lineRule="auto"/>
        <w:ind w:left="709"/>
        <w:rPr>
          <w:sz w:val="28"/>
        </w:rPr>
      </w:pPr>
      <w:r w:rsidRPr="006A2DB1">
        <w:rPr>
          <w:sz w:val="28"/>
        </w:rPr>
        <w:t>The</w:t>
      </w:r>
      <w:r w:rsidR="00513E50" w:rsidRPr="006A2DB1">
        <w:rPr>
          <w:sz w:val="28"/>
        </w:rPr>
        <w:t xml:space="preserve"> RWPN informed us that</w:t>
      </w:r>
      <w:r w:rsidR="00E07E30" w:rsidRPr="006A2DB1">
        <w:rPr>
          <w:sz w:val="28"/>
        </w:rPr>
        <w:t xml:space="preserve"> its</w:t>
      </w:r>
      <w:r w:rsidRPr="006A2DB1">
        <w:rPr>
          <w:sz w:val="28"/>
        </w:rPr>
        <w:t xml:space="preserve"> Registration &amp; Renewal Policy has been updated and is access</w:t>
      </w:r>
      <w:r w:rsidR="00E07E30" w:rsidRPr="006A2DB1">
        <w:rPr>
          <w:sz w:val="28"/>
        </w:rPr>
        <w:t>ible via its website</w:t>
      </w:r>
      <w:r w:rsidR="008552CA" w:rsidRPr="006A2DB1">
        <w:rPr>
          <w:sz w:val="28"/>
        </w:rPr>
        <w:t>.</w:t>
      </w:r>
      <w:r w:rsidR="00970958" w:rsidRPr="006A2DB1">
        <w:rPr>
          <w:rStyle w:val="FootnoteReference"/>
          <w:sz w:val="28"/>
        </w:rPr>
        <w:footnoteReference w:id="4"/>
      </w:r>
    </w:p>
    <w:p w14:paraId="1C83B326" w14:textId="4A86175F" w:rsidR="00FE4756" w:rsidRPr="006A2DB1" w:rsidRDefault="45A9B392" w:rsidP="006A2DB1">
      <w:pPr>
        <w:pStyle w:val="Heading2"/>
        <w:tabs>
          <w:tab w:val="num" w:pos="1255"/>
        </w:tabs>
        <w:spacing w:before="0" w:after="120" w:line="276" w:lineRule="auto"/>
        <w:ind w:left="709"/>
        <w:rPr>
          <w:sz w:val="28"/>
        </w:rPr>
      </w:pPr>
      <w:r w:rsidRPr="006A2DB1">
        <w:rPr>
          <w:sz w:val="28"/>
        </w:rPr>
        <w:t xml:space="preserve">The guidance includes new detail about the decision makers at key points in the registration process. </w:t>
      </w:r>
    </w:p>
    <w:p w14:paraId="27E4863E" w14:textId="14A9E68C" w:rsidR="00FE4756" w:rsidRPr="006A2DB1" w:rsidRDefault="3927BDBD" w:rsidP="006A2DB1">
      <w:pPr>
        <w:pStyle w:val="Heading2"/>
        <w:tabs>
          <w:tab w:val="num" w:pos="1255"/>
        </w:tabs>
        <w:spacing w:before="0" w:after="120" w:line="276" w:lineRule="auto"/>
        <w:ind w:left="709"/>
        <w:rPr>
          <w:sz w:val="28"/>
        </w:rPr>
      </w:pPr>
      <w:r w:rsidRPr="006A2DB1">
        <w:rPr>
          <w:sz w:val="28"/>
        </w:rPr>
        <w:t>This includes a new section outlining how the RWPN will consider qualifications gained overseas. The policy makes clear that the new appeals process (see Condition Three, below) also applies to those applying through this route.</w:t>
      </w:r>
    </w:p>
    <w:p w14:paraId="20824DA7" w14:textId="21C3B344" w:rsidR="00FE4756" w:rsidRPr="006A2DB1" w:rsidRDefault="7CC4F8C0" w:rsidP="006A2DB1">
      <w:pPr>
        <w:pStyle w:val="Heading2"/>
        <w:tabs>
          <w:tab w:val="num" w:pos="1255"/>
        </w:tabs>
        <w:spacing w:before="0" w:after="120" w:line="276" w:lineRule="auto"/>
        <w:ind w:left="709"/>
        <w:rPr>
          <w:sz w:val="28"/>
        </w:rPr>
      </w:pPr>
      <w:r w:rsidRPr="006A2DB1">
        <w:rPr>
          <w:sz w:val="28"/>
        </w:rPr>
        <w:t xml:space="preserve">The guidance also includes a new section about renewing registration. This Provides a mechanism for the RWPN to check on an ongoing basis that registrants continue to agree to abide by the </w:t>
      </w:r>
      <w:r w:rsidRPr="006A2DB1">
        <w:rPr>
          <w:sz w:val="28"/>
        </w:rPr>
        <w:lastRenderedPageBreak/>
        <w:t>Code of Ethics and Professional Conduct and</w:t>
      </w:r>
      <w:r w:rsidR="0477EC85" w:rsidRPr="006A2DB1">
        <w:rPr>
          <w:sz w:val="28"/>
        </w:rPr>
        <w:t xml:space="preserve"> that there are no new declarations to be made, such as actions by other regulatory bodies. </w:t>
      </w:r>
    </w:p>
    <w:p w14:paraId="4A73BF2C" w14:textId="15AEA641" w:rsidR="00FE4756" w:rsidRPr="006A2DB1" w:rsidRDefault="00E07E30" w:rsidP="006A2DB1">
      <w:pPr>
        <w:pStyle w:val="Heading2"/>
        <w:tabs>
          <w:tab w:val="num" w:pos="1255"/>
        </w:tabs>
        <w:spacing w:before="0" w:after="120" w:line="276" w:lineRule="auto"/>
        <w:ind w:left="709"/>
        <w:rPr>
          <w:sz w:val="28"/>
        </w:rPr>
      </w:pPr>
      <w:r w:rsidRPr="006A2DB1">
        <w:rPr>
          <w:sz w:val="28"/>
        </w:rPr>
        <w:t>The RWPN informed a</w:t>
      </w:r>
      <w:r w:rsidR="00233687" w:rsidRPr="006A2DB1">
        <w:rPr>
          <w:sz w:val="28"/>
        </w:rPr>
        <w:t>ll</w:t>
      </w:r>
      <w:r w:rsidRPr="006A2DB1">
        <w:rPr>
          <w:sz w:val="28"/>
        </w:rPr>
        <w:t xml:space="preserve"> registrants</w:t>
      </w:r>
      <w:r w:rsidR="00233687" w:rsidRPr="006A2DB1">
        <w:rPr>
          <w:sz w:val="28"/>
        </w:rPr>
        <w:t xml:space="preserve"> of</w:t>
      </w:r>
      <w:r w:rsidRPr="006A2DB1">
        <w:rPr>
          <w:sz w:val="28"/>
        </w:rPr>
        <w:t xml:space="preserve"> these</w:t>
      </w:r>
      <w:r w:rsidR="00233687" w:rsidRPr="006A2DB1">
        <w:rPr>
          <w:sz w:val="28"/>
        </w:rPr>
        <w:t xml:space="preserve"> changes in a mailout </w:t>
      </w:r>
      <w:r w:rsidR="4826D3EE" w:rsidRPr="006A2DB1">
        <w:rPr>
          <w:sz w:val="28"/>
        </w:rPr>
        <w:t>in</w:t>
      </w:r>
      <w:r w:rsidR="00233687" w:rsidRPr="006A2DB1">
        <w:rPr>
          <w:sz w:val="28"/>
        </w:rPr>
        <w:t xml:space="preserve"> November</w:t>
      </w:r>
      <w:r w:rsidR="081B0006" w:rsidRPr="006A2DB1">
        <w:rPr>
          <w:sz w:val="28"/>
        </w:rPr>
        <w:t xml:space="preserve"> 2023</w:t>
      </w:r>
      <w:r w:rsidR="00233687" w:rsidRPr="006A2DB1">
        <w:rPr>
          <w:sz w:val="28"/>
        </w:rPr>
        <w:t xml:space="preserve">. </w:t>
      </w:r>
    </w:p>
    <w:p w14:paraId="766FF4F8" w14:textId="4BBE0C35" w:rsidR="65AA4F40" w:rsidRPr="006A2DB1" w:rsidRDefault="65AA4F40" w:rsidP="006A2DB1">
      <w:pPr>
        <w:pStyle w:val="ListParagraph"/>
        <w:numPr>
          <w:ilvl w:val="1"/>
          <w:numId w:val="6"/>
        </w:numPr>
        <w:spacing w:after="120" w:line="276" w:lineRule="auto"/>
        <w:ind w:left="1134"/>
        <w:rPr>
          <w:rFonts w:cs="Arial"/>
          <w:sz w:val="28"/>
          <w:szCs w:val="28"/>
        </w:rPr>
      </w:pPr>
      <w:r w:rsidRPr="006A2DB1">
        <w:rPr>
          <w:rFonts w:cs="Arial"/>
          <w:b/>
          <w:bCs/>
          <w:sz w:val="28"/>
          <w:szCs w:val="28"/>
        </w:rPr>
        <w:t>Condition 2:</w:t>
      </w:r>
      <w:r w:rsidRPr="006A2DB1">
        <w:rPr>
          <w:rFonts w:cs="Arial"/>
          <w:sz w:val="28"/>
          <w:szCs w:val="28"/>
        </w:rPr>
        <w:t xml:space="preserve"> The RWPN should develop of policy for handling positive declarations.</w:t>
      </w:r>
    </w:p>
    <w:p w14:paraId="0B8078A4" w14:textId="07A16115" w:rsidR="005079EA" w:rsidRPr="006A2DB1" w:rsidRDefault="750DCAB1" w:rsidP="006A2DB1">
      <w:pPr>
        <w:pStyle w:val="Heading2"/>
        <w:tabs>
          <w:tab w:val="num" w:pos="1255"/>
        </w:tabs>
        <w:spacing w:before="0" w:after="120" w:line="276" w:lineRule="auto"/>
        <w:ind w:left="709"/>
        <w:rPr>
          <w:sz w:val="28"/>
        </w:rPr>
      </w:pPr>
      <w:r w:rsidRPr="006A2DB1">
        <w:rPr>
          <w:sz w:val="28"/>
        </w:rPr>
        <w:t>T</w:t>
      </w:r>
      <w:r w:rsidR="00705212" w:rsidRPr="006A2DB1">
        <w:rPr>
          <w:sz w:val="28"/>
        </w:rPr>
        <w:t xml:space="preserve">he RWPN informed us that its Registration &amp; Renewal Policy has been updated with the relevant fitness to practice declarations and we have seen that these are </w:t>
      </w:r>
      <w:r w:rsidR="19C01CBF" w:rsidRPr="006A2DB1">
        <w:rPr>
          <w:sz w:val="28"/>
        </w:rPr>
        <w:t>also accessible</w:t>
      </w:r>
      <w:r w:rsidR="00705212" w:rsidRPr="006A2DB1">
        <w:rPr>
          <w:sz w:val="28"/>
        </w:rPr>
        <w:t xml:space="preserve"> via its registration and renewals policy on </w:t>
      </w:r>
      <w:r w:rsidR="005079EA" w:rsidRPr="006A2DB1">
        <w:rPr>
          <w:sz w:val="28"/>
        </w:rPr>
        <w:t xml:space="preserve">its </w:t>
      </w:r>
      <w:r w:rsidR="00705212" w:rsidRPr="006A2DB1">
        <w:rPr>
          <w:sz w:val="28"/>
        </w:rPr>
        <w:t>website</w:t>
      </w:r>
      <w:r w:rsidR="005079EA" w:rsidRPr="006A2DB1">
        <w:rPr>
          <w:sz w:val="28"/>
        </w:rPr>
        <w:t>.</w:t>
      </w:r>
    </w:p>
    <w:p w14:paraId="71B47A95" w14:textId="1BAC0CE1" w:rsidR="750DCAB1" w:rsidRPr="006A2DB1" w:rsidRDefault="00705212" w:rsidP="006A2DB1">
      <w:pPr>
        <w:pStyle w:val="Heading2"/>
        <w:tabs>
          <w:tab w:val="num" w:pos="1255"/>
        </w:tabs>
        <w:spacing w:before="0" w:after="120" w:line="276" w:lineRule="auto"/>
        <w:ind w:left="709"/>
        <w:rPr>
          <w:sz w:val="28"/>
        </w:rPr>
      </w:pPr>
      <w:r w:rsidRPr="006A2DB1">
        <w:rPr>
          <w:sz w:val="28"/>
        </w:rPr>
        <w:t>The RWPN also informed all registrants of these changes in a mailout last November. The RWPN also</w:t>
      </w:r>
      <w:r w:rsidR="0026637C" w:rsidRPr="006A2DB1">
        <w:rPr>
          <w:sz w:val="28"/>
        </w:rPr>
        <w:t xml:space="preserve"> provided us with its updated</w:t>
      </w:r>
      <w:r w:rsidRPr="006A2DB1">
        <w:rPr>
          <w:sz w:val="28"/>
        </w:rPr>
        <w:t xml:space="preserve"> Rules of membership</w:t>
      </w:r>
      <w:r w:rsidR="0026637C" w:rsidRPr="006A2DB1">
        <w:rPr>
          <w:sz w:val="28"/>
        </w:rPr>
        <w:t xml:space="preserve"> and </w:t>
      </w:r>
      <w:r w:rsidRPr="006A2DB1">
        <w:rPr>
          <w:sz w:val="28"/>
        </w:rPr>
        <w:t>registration</w:t>
      </w:r>
      <w:r w:rsidR="000F728E" w:rsidRPr="006A2DB1">
        <w:rPr>
          <w:sz w:val="28"/>
        </w:rPr>
        <w:t xml:space="preserve"> which are published at</w:t>
      </w:r>
      <w:r w:rsidR="0026637C" w:rsidRPr="006A2DB1">
        <w:rPr>
          <w:sz w:val="28"/>
        </w:rPr>
        <w:t>:</w:t>
      </w:r>
      <w:r w:rsidRPr="006A2DB1">
        <w:rPr>
          <w:sz w:val="28"/>
        </w:rPr>
        <w:t xml:space="preserve"> </w:t>
      </w:r>
      <w:hyperlink r:id="rId11" w:history="1">
        <w:r w:rsidR="000F728E" w:rsidRPr="006A2DB1">
          <w:rPr>
            <w:rStyle w:val="Hyperlink"/>
            <w:sz w:val="28"/>
          </w:rPr>
          <w:t>https://www.rwpn.org.uk/join_now</w:t>
        </w:r>
      </w:hyperlink>
      <w:r w:rsidR="719DA05B" w:rsidRPr="006A2DB1">
        <w:rPr>
          <w:sz w:val="28"/>
        </w:rPr>
        <w:t>.</w:t>
      </w:r>
    </w:p>
    <w:p w14:paraId="73F07CC9" w14:textId="469DD45C" w:rsidR="719DA05B" w:rsidRPr="006A2DB1" w:rsidRDefault="719DA05B" w:rsidP="006A2DB1">
      <w:pPr>
        <w:pStyle w:val="Heading2"/>
        <w:numPr>
          <w:ilvl w:val="0"/>
          <w:numId w:val="4"/>
        </w:numPr>
        <w:spacing w:before="0" w:after="120" w:line="276" w:lineRule="auto"/>
        <w:ind w:left="1134"/>
        <w:rPr>
          <w:iCs w:val="0"/>
          <w:sz w:val="28"/>
        </w:rPr>
      </w:pPr>
      <w:r w:rsidRPr="006A2DB1">
        <w:rPr>
          <w:b/>
          <w:sz w:val="28"/>
        </w:rPr>
        <w:t>Condition 3:</w:t>
      </w:r>
      <w:r w:rsidRPr="006A2DB1">
        <w:rPr>
          <w:sz w:val="28"/>
        </w:rPr>
        <w:t xml:space="preserve"> The RWPN should develop and publish an appeal policy for registration decisions.</w:t>
      </w:r>
    </w:p>
    <w:p w14:paraId="641C64CB" w14:textId="78BB4CF8" w:rsidR="009A19AD" w:rsidRPr="006A2DB1" w:rsidRDefault="71B59B77" w:rsidP="006A2DB1">
      <w:pPr>
        <w:pStyle w:val="Heading2"/>
        <w:tabs>
          <w:tab w:val="num" w:pos="1255"/>
        </w:tabs>
        <w:spacing w:before="0" w:after="120" w:line="276" w:lineRule="auto"/>
        <w:ind w:left="709"/>
        <w:rPr>
          <w:rFonts w:eastAsia="Arial"/>
          <w:sz w:val="28"/>
        </w:rPr>
      </w:pPr>
      <w:r w:rsidRPr="006A2DB1">
        <w:rPr>
          <w:rFonts w:eastAsia="Arial"/>
          <w:sz w:val="28"/>
        </w:rPr>
        <w:t>The revised registrations and renewals process includes a mechanism for appealing registration decisions. Appeals are considered by the Registration and Professional Standards Committee. This is separate from the decision maker about registration decisions, who is the Membership Secretary.</w:t>
      </w:r>
      <w:r w:rsidR="008B41D3" w:rsidRPr="006A2DB1">
        <w:rPr>
          <w:rFonts w:eastAsia="Arial"/>
          <w:sz w:val="28"/>
        </w:rPr>
        <w:t xml:space="preserve"> However, we considered that </w:t>
      </w:r>
      <w:r w:rsidR="00000A66" w:rsidRPr="006A2DB1">
        <w:rPr>
          <w:rFonts w:eastAsia="Arial"/>
          <w:sz w:val="28"/>
        </w:rPr>
        <w:t xml:space="preserve">it would be beneficial to have further separation </w:t>
      </w:r>
      <w:r w:rsidR="0015027E" w:rsidRPr="006A2DB1">
        <w:rPr>
          <w:rFonts w:eastAsia="Arial"/>
          <w:sz w:val="28"/>
        </w:rPr>
        <w:t>in terms of decisions about appeals, and issued the following Recommendation:</w:t>
      </w:r>
    </w:p>
    <w:p w14:paraId="342B49C5" w14:textId="633D45E7" w:rsidR="0015027E" w:rsidRPr="006A2DB1" w:rsidRDefault="0015027E" w:rsidP="006A2DB1">
      <w:pPr>
        <w:pStyle w:val="Heading2"/>
        <w:numPr>
          <w:ilvl w:val="0"/>
          <w:numId w:val="4"/>
        </w:numPr>
        <w:spacing w:before="0" w:after="120" w:line="276" w:lineRule="auto"/>
        <w:ind w:left="1134"/>
        <w:rPr>
          <w:rFonts w:eastAsia="Arial"/>
          <w:sz w:val="28"/>
        </w:rPr>
      </w:pPr>
      <w:r w:rsidRPr="006A2DB1">
        <w:rPr>
          <w:b/>
          <w:bCs w:val="0"/>
          <w:sz w:val="28"/>
        </w:rPr>
        <w:t>Recommendation One</w:t>
      </w:r>
      <w:r w:rsidRPr="006A2DB1">
        <w:rPr>
          <w:rFonts w:eastAsia="Arial"/>
          <w:b/>
          <w:bCs w:val="0"/>
          <w:sz w:val="28"/>
        </w:rPr>
        <w:t>:</w:t>
      </w:r>
      <w:r w:rsidR="00A170F2" w:rsidRPr="006A2DB1">
        <w:rPr>
          <w:rFonts w:eastAsia="Arial"/>
          <w:sz w:val="28"/>
        </w:rPr>
        <w:t xml:space="preserve"> To ensure complete separation of involvement in the process and responsibilities for decision-making at registration with those at appeal.</w:t>
      </w:r>
    </w:p>
    <w:p w14:paraId="732684BE" w14:textId="6AF01E2C" w:rsidR="41006E3A" w:rsidRPr="006A2DB1" w:rsidRDefault="41006E3A" w:rsidP="006A2DB1">
      <w:pPr>
        <w:pStyle w:val="Heading2"/>
        <w:tabs>
          <w:tab w:val="num" w:pos="1255"/>
        </w:tabs>
        <w:spacing w:before="0" w:after="120" w:line="276" w:lineRule="auto"/>
        <w:ind w:left="709"/>
        <w:rPr>
          <w:rFonts w:eastAsia="Arial"/>
          <w:sz w:val="28"/>
        </w:rPr>
      </w:pPr>
      <w:r w:rsidRPr="006A2DB1">
        <w:rPr>
          <w:rFonts w:eastAsia="Arial"/>
          <w:sz w:val="28"/>
        </w:rPr>
        <w:t xml:space="preserve">The policy does not set out the grounds for appeal, which can therefore be assumed as broad. We have issued the following Recommendation to address this: </w:t>
      </w:r>
    </w:p>
    <w:p w14:paraId="066F2BCF" w14:textId="3CDD8153" w:rsidR="41006E3A" w:rsidRPr="006A2DB1" w:rsidRDefault="41006E3A" w:rsidP="006A2DB1">
      <w:pPr>
        <w:pStyle w:val="Heading2"/>
        <w:numPr>
          <w:ilvl w:val="0"/>
          <w:numId w:val="4"/>
        </w:numPr>
        <w:spacing w:before="0" w:after="120" w:line="276" w:lineRule="auto"/>
        <w:ind w:left="1134"/>
        <w:rPr>
          <w:rFonts w:eastAsia="Arial"/>
          <w:sz w:val="28"/>
        </w:rPr>
      </w:pPr>
      <w:r w:rsidRPr="006A2DB1">
        <w:rPr>
          <w:rFonts w:eastAsia="Arial"/>
          <w:b/>
          <w:bCs w:val="0"/>
          <w:sz w:val="28"/>
        </w:rPr>
        <w:t xml:space="preserve">Recommendation </w:t>
      </w:r>
      <w:r w:rsidR="0015027E" w:rsidRPr="006A2DB1">
        <w:rPr>
          <w:rFonts w:eastAsia="Arial"/>
          <w:b/>
          <w:bCs w:val="0"/>
          <w:sz w:val="28"/>
        </w:rPr>
        <w:t>Two</w:t>
      </w:r>
      <w:r w:rsidRPr="006A2DB1">
        <w:rPr>
          <w:rFonts w:eastAsia="Arial"/>
          <w:b/>
          <w:bCs w:val="0"/>
          <w:sz w:val="28"/>
        </w:rPr>
        <w:t>:</w:t>
      </w:r>
      <w:r w:rsidRPr="006A2DB1">
        <w:rPr>
          <w:rFonts w:eastAsia="Arial"/>
          <w:sz w:val="28"/>
        </w:rPr>
        <w:t xml:space="preserve"> The RWPN should set out clearer grounds for appealing registration decisions.</w:t>
      </w:r>
    </w:p>
    <w:p w14:paraId="78A16361" w14:textId="1B4B5915" w:rsidR="719DA05B" w:rsidRPr="006A2DB1" w:rsidRDefault="719DA05B" w:rsidP="006A2DB1">
      <w:pPr>
        <w:pStyle w:val="Heading2"/>
        <w:numPr>
          <w:ilvl w:val="0"/>
          <w:numId w:val="4"/>
        </w:numPr>
        <w:spacing w:before="0" w:after="120" w:line="276" w:lineRule="auto"/>
        <w:ind w:left="1134"/>
        <w:rPr>
          <w:rFonts w:eastAsia="Arial"/>
          <w:sz w:val="28"/>
        </w:rPr>
      </w:pPr>
      <w:r w:rsidRPr="006A2DB1">
        <w:rPr>
          <w:rFonts w:eastAsia="Arial"/>
          <w:b/>
          <w:bCs w:val="0"/>
          <w:sz w:val="28"/>
        </w:rPr>
        <w:lastRenderedPageBreak/>
        <w:t>Condition 4:</w:t>
      </w:r>
      <w:r w:rsidRPr="006A2DB1">
        <w:rPr>
          <w:rFonts w:eastAsia="Arial"/>
          <w:sz w:val="28"/>
        </w:rPr>
        <w:t xml:space="preserve"> The RWPN should review its indicative sanctions guidance to ensure that it has enough flexibility for the RWPN to act in different situations. The RWPN should review if sanctions issued by the Initial Investigation Panel (IIP) should be published taking the public interest into account. The RWPN should consider if the Professional Conduct Panel (PCP) can decide not to issue a sanction, and if so, include information about this within</w:t>
      </w:r>
      <w:r w:rsidR="00225379" w:rsidRPr="006A2DB1">
        <w:rPr>
          <w:rFonts w:eastAsia="Arial"/>
          <w:sz w:val="28"/>
        </w:rPr>
        <w:t xml:space="preserve"> its </w:t>
      </w:r>
      <w:r w:rsidRPr="006A2DB1">
        <w:rPr>
          <w:rFonts w:eastAsia="Arial"/>
          <w:sz w:val="28"/>
        </w:rPr>
        <w:t>complaints policies.</w:t>
      </w:r>
    </w:p>
    <w:p w14:paraId="4E00F202" w14:textId="634EA670" w:rsidR="00225379" w:rsidRPr="006A2DB1" w:rsidRDefault="719DA05B" w:rsidP="006A2DB1">
      <w:pPr>
        <w:pStyle w:val="Heading2"/>
        <w:tabs>
          <w:tab w:val="num" w:pos="1255"/>
        </w:tabs>
        <w:spacing w:before="0" w:after="120" w:line="276" w:lineRule="auto"/>
        <w:ind w:left="709"/>
        <w:rPr>
          <w:rFonts w:eastAsia="Arial"/>
          <w:sz w:val="28"/>
        </w:rPr>
      </w:pPr>
      <w:r w:rsidRPr="006A2DB1">
        <w:rPr>
          <w:rFonts w:eastAsia="Arial"/>
          <w:sz w:val="28"/>
        </w:rPr>
        <w:t>T</w:t>
      </w:r>
      <w:r w:rsidR="00225379" w:rsidRPr="006A2DB1">
        <w:rPr>
          <w:rFonts w:eastAsia="Arial"/>
          <w:sz w:val="28"/>
        </w:rPr>
        <w:t xml:space="preserve">he RWPN provided a copy of its Indicative Complaint Resolutions and Sanctions Guidance which clarified that </w:t>
      </w:r>
      <w:r w:rsidR="00856E26" w:rsidRPr="006A2DB1">
        <w:rPr>
          <w:rFonts w:eastAsia="Arial"/>
          <w:sz w:val="28"/>
        </w:rPr>
        <w:t>sanctions against all registrants will be published on the</w:t>
      </w:r>
      <w:r w:rsidR="00225379" w:rsidRPr="006A2DB1">
        <w:rPr>
          <w:rFonts w:eastAsia="Arial"/>
          <w:sz w:val="28"/>
        </w:rPr>
        <w:t xml:space="preserve"> </w:t>
      </w:r>
      <w:r w:rsidR="00856E26" w:rsidRPr="006A2DB1">
        <w:rPr>
          <w:rFonts w:eastAsia="Arial"/>
          <w:sz w:val="28"/>
        </w:rPr>
        <w:t xml:space="preserve">RWPN website, and that investigating panels will have a wide discretion as to </w:t>
      </w:r>
      <w:proofErr w:type="gramStart"/>
      <w:r w:rsidR="00856E26" w:rsidRPr="006A2DB1">
        <w:rPr>
          <w:rFonts w:eastAsia="Arial"/>
          <w:sz w:val="28"/>
        </w:rPr>
        <w:t>if and when</w:t>
      </w:r>
      <w:proofErr w:type="gramEnd"/>
      <w:r w:rsidR="00856E26" w:rsidRPr="006A2DB1">
        <w:rPr>
          <w:rFonts w:eastAsia="Arial"/>
          <w:sz w:val="28"/>
        </w:rPr>
        <w:t xml:space="preserve"> to issue a sanction, and the type of sanction to be issued if so.</w:t>
      </w:r>
    </w:p>
    <w:p w14:paraId="4017FF21" w14:textId="2946E627" w:rsidR="00EF7151" w:rsidRPr="006A2DB1" w:rsidRDefault="00EF7151" w:rsidP="006A2DB1">
      <w:pPr>
        <w:pStyle w:val="Heading2"/>
        <w:tabs>
          <w:tab w:val="num" w:pos="1255"/>
        </w:tabs>
        <w:spacing w:before="0" w:after="120" w:line="276" w:lineRule="auto"/>
        <w:ind w:left="709"/>
        <w:rPr>
          <w:rFonts w:eastAsia="Arial"/>
          <w:sz w:val="28"/>
        </w:rPr>
      </w:pPr>
      <w:r w:rsidRPr="006A2DB1">
        <w:rPr>
          <w:rFonts w:eastAsia="Arial"/>
          <w:sz w:val="28"/>
        </w:rPr>
        <w:t xml:space="preserve">We noted that although sanctions must be published, resolutions are not. Resolutions include written warnings relating to </w:t>
      </w:r>
      <w:r w:rsidR="00A40A04" w:rsidRPr="006A2DB1">
        <w:rPr>
          <w:rFonts w:eastAsia="Arial"/>
          <w:sz w:val="28"/>
        </w:rPr>
        <w:t xml:space="preserve">concerns that are not considered serious in nature, further training requirements, and apologies. </w:t>
      </w:r>
      <w:r w:rsidR="004C71BD" w:rsidRPr="006A2DB1">
        <w:rPr>
          <w:rFonts w:eastAsia="Arial"/>
          <w:sz w:val="28"/>
        </w:rPr>
        <w:t xml:space="preserve">We considered that further training or development might indicate insufficiencies in a registrant’s practice, and issued the following Recommendation: </w:t>
      </w:r>
    </w:p>
    <w:p w14:paraId="3503E133" w14:textId="77777777" w:rsidR="00D5419C" w:rsidRPr="006A2DB1" w:rsidRDefault="00A40A04" w:rsidP="006A2DB1">
      <w:pPr>
        <w:pStyle w:val="ListParagraph"/>
        <w:numPr>
          <w:ilvl w:val="1"/>
          <w:numId w:val="6"/>
        </w:numPr>
        <w:spacing w:after="120" w:line="276" w:lineRule="auto"/>
        <w:ind w:left="1134"/>
        <w:rPr>
          <w:rFonts w:cs="Arial"/>
          <w:b/>
          <w:bCs/>
          <w:sz w:val="28"/>
          <w:szCs w:val="28"/>
        </w:rPr>
      </w:pPr>
      <w:r w:rsidRPr="006A2DB1">
        <w:rPr>
          <w:rFonts w:cs="Arial"/>
          <w:b/>
          <w:bCs/>
          <w:sz w:val="28"/>
          <w:szCs w:val="28"/>
        </w:rPr>
        <w:t xml:space="preserve">Recommendation Three: </w:t>
      </w:r>
      <w:r w:rsidRPr="006A2DB1">
        <w:rPr>
          <w:rFonts w:cs="Arial"/>
          <w:sz w:val="28"/>
          <w:szCs w:val="28"/>
        </w:rPr>
        <w:t>The RWPN should consider whether resolutions for further training or development should be published.</w:t>
      </w:r>
    </w:p>
    <w:p w14:paraId="5579DB1E" w14:textId="7A2693E0" w:rsidR="00FE4756" w:rsidRPr="006A2DB1" w:rsidRDefault="00FE4756" w:rsidP="006A2DB1">
      <w:pPr>
        <w:spacing w:after="120" w:line="276" w:lineRule="auto"/>
        <w:rPr>
          <w:rFonts w:cs="Arial"/>
          <w:b/>
          <w:bCs/>
          <w:sz w:val="28"/>
          <w:szCs w:val="28"/>
        </w:rPr>
      </w:pPr>
      <w:r w:rsidRPr="006A2DB1">
        <w:rPr>
          <w:rFonts w:cs="Arial"/>
          <w:b/>
          <w:bCs/>
          <w:sz w:val="28"/>
          <w:szCs w:val="28"/>
        </w:rPr>
        <w:t>Conclusion</w:t>
      </w:r>
    </w:p>
    <w:p w14:paraId="206547BF" w14:textId="77777777" w:rsidR="00D5419C" w:rsidRPr="006A2DB1" w:rsidRDefault="00D5419C" w:rsidP="006A2DB1">
      <w:pPr>
        <w:pStyle w:val="ListParagraph"/>
        <w:keepNext/>
        <w:numPr>
          <w:ilvl w:val="0"/>
          <w:numId w:val="1"/>
        </w:numPr>
        <w:spacing w:after="120" w:line="276" w:lineRule="auto"/>
        <w:contextualSpacing w:val="0"/>
        <w:outlineLvl w:val="0"/>
        <w:rPr>
          <w:rFonts w:eastAsia="Arial" w:cs="Arial"/>
          <w:b/>
          <w:bCs/>
          <w:vanish/>
          <w:kern w:val="32"/>
          <w:sz w:val="28"/>
          <w:szCs w:val="28"/>
        </w:rPr>
      </w:pPr>
    </w:p>
    <w:p w14:paraId="3ED7E976" w14:textId="0088EFD4" w:rsidR="00FE4756" w:rsidRPr="006A2DB1" w:rsidRDefault="004F5CD2" w:rsidP="006A2DB1">
      <w:pPr>
        <w:pStyle w:val="Heading2"/>
        <w:tabs>
          <w:tab w:val="num" w:pos="1255"/>
        </w:tabs>
        <w:spacing w:before="0" w:after="120" w:line="276" w:lineRule="auto"/>
        <w:ind w:left="709"/>
        <w:rPr>
          <w:rFonts w:eastAsia="Arial"/>
          <w:sz w:val="28"/>
        </w:rPr>
      </w:pPr>
      <w:r w:rsidRPr="006A2DB1">
        <w:rPr>
          <w:rFonts w:eastAsia="Arial"/>
          <w:sz w:val="28"/>
        </w:rPr>
        <w:t xml:space="preserve">The RWPN has carried out the actions required by the </w:t>
      </w:r>
      <w:r w:rsidR="7459DBEB" w:rsidRPr="006A2DB1">
        <w:rPr>
          <w:rFonts w:eastAsia="Arial"/>
          <w:sz w:val="28"/>
        </w:rPr>
        <w:t>C</w:t>
      </w:r>
      <w:r w:rsidRPr="006A2DB1">
        <w:rPr>
          <w:rFonts w:eastAsia="Arial"/>
          <w:sz w:val="28"/>
        </w:rPr>
        <w:t xml:space="preserve">onditions. we will check that </w:t>
      </w:r>
      <w:r w:rsidR="00AC0725" w:rsidRPr="006A2DB1">
        <w:rPr>
          <w:rFonts w:eastAsia="Arial"/>
          <w:sz w:val="28"/>
        </w:rPr>
        <w:t>the RWPN</w:t>
      </w:r>
      <w:r w:rsidRPr="006A2DB1">
        <w:rPr>
          <w:rFonts w:eastAsia="Arial"/>
          <w:sz w:val="28"/>
        </w:rPr>
        <w:t xml:space="preserve"> co</w:t>
      </w:r>
      <w:r w:rsidR="00AC0725" w:rsidRPr="006A2DB1">
        <w:rPr>
          <w:rFonts w:eastAsia="Arial"/>
          <w:sz w:val="28"/>
        </w:rPr>
        <w:t>ntinu</w:t>
      </w:r>
      <w:r w:rsidRPr="006A2DB1">
        <w:rPr>
          <w:rFonts w:eastAsia="Arial"/>
          <w:sz w:val="28"/>
        </w:rPr>
        <w:t>es the required actions at its next assessment.</w:t>
      </w:r>
    </w:p>
    <w:p w14:paraId="06C5CA79" w14:textId="3C752776" w:rsidR="004F5CD2" w:rsidRPr="006A2DB1" w:rsidRDefault="00FE4756" w:rsidP="00C64275">
      <w:pPr>
        <w:pStyle w:val="Heading2"/>
        <w:tabs>
          <w:tab w:val="num" w:pos="1255"/>
        </w:tabs>
        <w:spacing w:before="0" w:after="120" w:line="276" w:lineRule="auto"/>
        <w:ind w:left="709"/>
        <w:rPr>
          <w:rFonts w:eastAsia="Arial"/>
          <w:sz w:val="28"/>
        </w:rPr>
      </w:pPr>
      <w:r w:rsidRPr="006A2DB1">
        <w:rPr>
          <w:rFonts w:eastAsia="Arial"/>
          <w:sz w:val="28"/>
        </w:rPr>
        <w:t xml:space="preserve">We therefore found that </w:t>
      </w:r>
      <w:r w:rsidR="004F5CD2" w:rsidRPr="006A2DB1">
        <w:rPr>
          <w:rFonts w:eastAsia="Arial"/>
          <w:sz w:val="28"/>
        </w:rPr>
        <w:t xml:space="preserve">the </w:t>
      </w:r>
      <w:r w:rsidRPr="006A2DB1">
        <w:rPr>
          <w:rFonts w:eastAsia="Arial"/>
          <w:sz w:val="28"/>
        </w:rPr>
        <w:t>Condition</w:t>
      </w:r>
      <w:r w:rsidR="004F5CD2" w:rsidRPr="006A2DB1">
        <w:rPr>
          <w:rFonts w:eastAsia="Arial"/>
          <w:sz w:val="28"/>
        </w:rPr>
        <w:t xml:space="preserve">s </w:t>
      </w:r>
      <w:r w:rsidRPr="006A2DB1">
        <w:rPr>
          <w:rFonts w:eastAsia="Arial"/>
          <w:sz w:val="28"/>
        </w:rPr>
        <w:t>ha</w:t>
      </w:r>
      <w:r w:rsidR="004F5CD2" w:rsidRPr="006A2DB1">
        <w:rPr>
          <w:rFonts w:eastAsia="Arial"/>
          <w:sz w:val="28"/>
        </w:rPr>
        <w:t>ve</w:t>
      </w:r>
      <w:r w:rsidRPr="006A2DB1">
        <w:rPr>
          <w:rFonts w:eastAsia="Arial"/>
          <w:sz w:val="28"/>
        </w:rPr>
        <w:t xml:space="preserve"> been met</w:t>
      </w:r>
      <w:r w:rsidR="00F22569" w:rsidRPr="006A2DB1">
        <w:rPr>
          <w:rFonts w:eastAsia="Arial"/>
          <w:sz w:val="28"/>
        </w:rPr>
        <w:t>.</w:t>
      </w:r>
    </w:p>
    <w:sectPr w:rsidR="004F5CD2" w:rsidRPr="006A2DB1" w:rsidSect="000A240B">
      <w:headerReference w:type="default" r:id="rId12"/>
      <w:footerReference w:type="default" r:id="rId13"/>
      <w:headerReference w:type="first" r:id="rId14"/>
      <w:footerReference w:type="first" r:id="rId15"/>
      <w:pgSz w:w="11907" w:h="16840" w:code="9"/>
      <w:pgMar w:top="1985" w:right="1275" w:bottom="993"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1FDD" w14:textId="77777777" w:rsidR="000A240B" w:rsidRDefault="000A240B" w:rsidP="00FE4756">
      <w:r>
        <w:separator/>
      </w:r>
    </w:p>
  </w:endnote>
  <w:endnote w:type="continuationSeparator" w:id="0">
    <w:p w14:paraId="7EADD02C" w14:textId="77777777" w:rsidR="000A240B" w:rsidRDefault="000A240B" w:rsidP="00FE4756">
      <w:r>
        <w:continuationSeparator/>
      </w:r>
    </w:p>
  </w:endnote>
  <w:endnote w:type="continuationNotice" w:id="1">
    <w:p w14:paraId="5400FD37" w14:textId="77777777" w:rsidR="000A240B" w:rsidRDefault="000A2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329569"/>
      <w:docPartObj>
        <w:docPartGallery w:val="Page Numbers (Bottom of Page)"/>
        <w:docPartUnique/>
      </w:docPartObj>
    </w:sdtPr>
    <w:sdtEndPr>
      <w:rPr>
        <w:noProof/>
      </w:rPr>
    </w:sdtEndPr>
    <w:sdtContent>
      <w:p w14:paraId="1A124DD4" w14:textId="77777777" w:rsidR="00D4150F" w:rsidRDefault="00D415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407D54" w14:textId="77777777" w:rsidR="00D4150F" w:rsidRDefault="00D4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559114"/>
      <w:docPartObj>
        <w:docPartGallery w:val="Page Numbers (Bottom of Page)"/>
        <w:docPartUnique/>
      </w:docPartObj>
    </w:sdtPr>
    <w:sdtEndPr>
      <w:rPr>
        <w:noProof/>
      </w:rPr>
    </w:sdtEndPr>
    <w:sdtContent>
      <w:p w14:paraId="539F94DE" w14:textId="77777777" w:rsidR="00D4150F" w:rsidRDefault="00D4150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C1ED9DF" w14:textId="77777777" w:rsidR="00D4150F" w:rsidRDefault="00D4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2BD87" w14:textId="77777777" w:rsidR="000A240B" w:rsidRDefault="000A240B" w:rsidP="00FE4756">
      <w:r>
        <w:separator/>
      </w:r>
    </w:p>
  </w:footnote>
  <w:footnote w:type="continuationSeparator" w:id="0">
    <w:p w14:paraId="5FF1D41E" w14:textId="77777777" w:rsidR="000A240B" w:rsidRDefault="000A240B" w:rsidP="00FE4756">
      <w:r>
        <w:continuationSeparator/>
      </w:r>
    </w:p>
  </w:footnote>
  <w:footnote w:type="continuationNotice" w:id="1">
    <w:p w14:paraId="0E9BC851" w14:textId="77777777" w:rsidR="000A240B" w:rsidRDefault="000A240B"/>
  </w:footnote>
  <w:footnote w:id="2">
    <w:p w14:paraId="422F7465" w14:textId="356C6CCA" w:rsidR="4D4DD652" w:rsidRDefault="4D4DD652" w:rsidP="4D4DD652">
      <w:pPr>
        <w:pStyle w:val="FootnoteText"/>
      </w:pPr>
      <w:r w:rsidRPr="4D4DD652">
        <w:rPr>
          <w:rStyle w:val="FootnoteReference"/>
        </w:rPr>
        <w:footnoteRef/>
      </w:r>
      <w:r>
        <w:t xml:space="preserve"> See report at: </w:t>
      </w:r>
      <w:hyperlink r:id="rId1">
        <w:r w:rsidRPr="4D4DD652">
          <w:rPr>
            <w:rStyle w:val="Hyperlink"/>
          </w:rPr>
          <w:t>accredited-registers-rwpn-conditions-review.docx (live.com)</w:t>
        </w:r>
      </w:hyperlink>
      <w:r w:rsidRPr="4D4DD652">
        <w:t xml:space="preserve"> </w:t>
      </w:r>
    </w:p>
  </w:footnote>
  <w:footnote w:id="3">
    <w:p w14:paraId="12C68CC2" w14:textId="77777777" w:rsidR="00FE4756" w:rsidRPr="00960840" w:rsidRDefault="00FE4756" w:rsidP="00FE4756">
      <w:pPr>
        <w:pStyle w:val="FootnoteText"/>
        <w:rPr>
          <w:lang w:val="en-US"/>
        </w:rPr>
      </w:pPr>
      <w:r>
        <w:rPr>
          <w:rStyle w:val="FootnoteReference"/>
        </w:rPr>
        <w:footnoteRef/>
      </w:r>
      <w:r>
        <w:t xml:space="preserve"> </w:t>
      </w:r>
      <w:r>
        <w:rPr>
          <w:lang w:val="en-US"/>
        </w:rPr>
        <w:t xml:space="preserve">The RWPN were originally assessed against the </w:t>
      </w:r>
      <w:r w:rsidRPr="00FC5F53">
        <w:rPr>
          <w:i/>
          <w:iCs/>
          <w:lang w:val="en-US"/>
        </w:rPr>
        <w:t>Standards for Accredited Registers</w:t>
      </w:r>
      <w:r w:rsidRPr="00FC5F53">
        <w:rPr>
          <w:lang w:val="en-US"/>
        </w:rPr>
        <w:t xml:space="preserve"> (April 2016)</w:t>
      </w:r>
      <w:r>
        <w:rPr>
          <w:rStyle w:val="Hyperlink"/>
          <w:lang w:val="en-US"/>
        </w:rPr>
        <w:t xml:space="preserve">. </w:t>
      </w:r>
      <w:hyperlink r:id="rId2" w:history="1">
        <w:r w:rsidRPr="00AF54C9">
          <w:rPr>
            <w:rStyle w:val="Hyperlink"/>
            <w:lang w:val="en-US"/>
          </w:rPr>
          <w:t>https://www.professionalstandards.org.uk/docs/default-source/accredited-registers/standards-for-accredited-registers/standards-for-accredited-registers-2016.pdf?sfvrsn=cfae4820_4</w:t>
        </w:r>
      </w:hyperlink>
    </w:p>
  </w:footnote>
  <w:footnote w:id="4">
    <w:p w14:paraId="548D5DE2" w14:textId="10B6796D" w:rsidR="00970958" w:rsidRDefault="00970958">
      <w:pPr>
        <w:pStyle w:val="FootnoteText"/>
      </w:pPr>
      <w:r>
        <w:rPr>
          <w:rStyle w:val="FootnoteReference"/>
        </w:rPr>
        <w:footnoteRef/>
      </w:r>
      <w:r>
        <w:t xml:space="preserve"> </w:t>
      </w:r>
      <w:hyperlink r:id="rId3">
        <w:r w:rsidRPr="4D4DD652">
          <w:rPr>
            <w:rStyle w:val="Hyperlink"/>
          </w:rPr>
          <w:t>https://www.rwpn.org.uk/Professional-Register1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9EF4" w14:textId="7B796DBB" w:rsidR="00D4150F" w:rsidRDefault="006A2DB1">
    <w:pPr>
      <w:pStyle w:val="Header"/>
    </w:pPr>
    <w:r>
      <w:rPr>
        <w:noProof/>
      </w:rPr>
      <w:pict w14:anchorId="23E6AD30">
        <v:group id="Group 8" o:spid="_x0000_s1028" style="position:absolute;margin-left:-70.45pt;margin-top:38.45pt;width:621.75pt;height:13.5pt;z-index:251658242;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XkawIAALcHAAAOAAAAZHJzL2Uyb0RvYy54bWzslc2O2yAQx++V+g6Ie2M7mzgbK86qyia5&#10;VO2q2z4Ai7GNhAEBGydv3wF/7Fer7qbtrRfbwMww8+M/ZnV1bAQ6MGO5kjlOJjFGTFJVcFnl+Pu3&#10;3YdLjKwjsiBCSZbjE7P4av3+3arVGZuqWomCGQRBpM1anePaOZ1FkaU1a4idKM0kLJbKNMTB0FRR&#10;YUgL0RsRTeM4jVplCm0UZdbC7HW3iNchflky6r6UpWUOiRxDbi48TXje+We0XpGsMkTXnPZpkDOy&#10;aAiXsOkY6po4gu4NfxGq4dQoq0o3oaqJVFlyykINUE0SP6tmb9S9DrVUWVvpEROgfcbp7LD082Fv&#10;9K2+MUCi1RWwCCNfy7E0jX9DlugYkJ1GZOzoEIXJxeUynU7nGFFYSxbJbN4zpTWAf+FG623vmCaz&#10;2TSFI3nqGA3bRk+SaTXIwz4QsH9G4LYmmgWwNgMCNwbxIsdLjCRpQKS3zhBe1Q5tlJQgIWXQ0ivF&#10;ZwHmG9nTspkFcK9FlSYXs8VFjypQGoslmTbW7ZlqkP/IseDS50cycvhkHWwNpoOJnxYStcA7nSex&#10;R0igc4wsgodVghc7LoS3s6a62wiDDgT0n26mm2XiC4Foj8xgJCRM+vK6gsKXOwnW7fWVlQAITjvp&#10;dvDNycawhFIm3RBXSLD2biWkMDrGv3fs7b0rC437FufRI+yspBudGy6V+dnu7jikXHb2A4Gubo/g&#10;ThWncNQBDeivk8A/F2ICZ/pLJcLiW6S4nPvufNacQ/f+fUkuUvgrv1qR24/beDe0wn9FnqXI8KOE&#10;2yF0dX+T+evn8ThI++G+Xf8AAAD//wMAUEsDBBQABgAIAAAAIQAWZe+n4gAAAAwBAAAPAAAAZHJz&#10;L2Rvd25yZXYueG1sTI/BbsIwDIbvk/YOkSftBklg66BrihDadkKTBpMmbqExbUWTVE1oy9vPnLaT&#10;bfnT78/ZarQN67ELtXcK5FQAQ1d4U7tSwff+fbIAFqJ2RjfeoYIrBljl93eZTo0f3Bf2u1gyCnEh&#10;1QqqGNuU81BUaHWY+hYd7U6+szrS2JXcdHqgcNvwmRAJt7p2dKHSLW4qLM67i1XwMehhPZdv/fZ8&#10;2lwP++fPn61EpR4fxvUrsIhj/IPhpk/qkJPT0V+cCaxRMJFPYkmsgpeE6o2QYpYAO1In5kvgecb/&#10;P5H/AgAA//8DAFBLAQItABQABgAIAAAAIQC2gziS/gAAAOEBAAATAAAAAAAAAAAAAAAAAAAAAABb&#10;Q29udGVudF9UeXBlc10ueG1sUEsBAi0AFAAGAAgAAAAhADj9If/WAAAAlAEAAAsAAAAAAAAAAAAA&#10;AAAALwEAAF9yZWxzLy5yZWxzUEsBAi0AFAAGAAgAAAAhAAOuFeRrAgAAtwcAAA4AAAAAAAAAAAAA&#10;AAAALgIAAGRycy9lMm9Eb2MueG1sUEsBAi0AFAAGAAgAAAAhABZl76fiAAAADAEAAA8AAAAAAAAA&#10;AAAAAAAAxQQAAGRycy9kb3ducmV2LnhtbFBLBQYAAAAABAAEAPMAAADUBQAAAAA=&#10;">
          <v:line id="Straight Connector 9" o:spid="_x0000_s1029" style="position:absolute;visibility:visibl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EqxAAAANoAAAAPAAAAZHJzL2Rvd25yZXYueG1sRI9Ba8JA&#10;FITvQv/D8gQvohs9FE1dxUorejNR2usj+5pEs29jdjXpv+8WBI/DzHzDLFadqcSdGldaVjAZRyCI&#10;M6tLzhWcjp+jGQjnkTVWlknBLzlYLV96C4y1bTmhe+pzESDsYlRQeF/HUrqsIINubGvi4P3YxqAP&#10;ssmlbrANcFPJaRS9SoMlh4UCa9oUlF3Sm1HwPT8f9tV1mCb700ebHDfTr+x9q9Sg363fQHjq/DP8&#10;aO+0gjn8Xwk3QC7/AAAA//8DAFBLAQItABQABgAIAAAAIQDb4fbL7gAAAIUBAAATAAAAAAAAAAAA&#10;AAAAAAAAAABbQ29udGVudF9UeXBlc10ueG1sUEsBAi0AFAAGAAgAAAAhAFr0LFu/AAAAFQEAAAsA&#10;AAAAAAAAAAAAAAAAHwEAAF9yZWxzLy5yZWxzUEsBAi0AFAAGAAgAAAAhABXasSrEAAAA2gAAAA8A&#10;AAAAAAAAAAAAAAAABwIAAGRycy9kb3ducmV2LnhtbFBLBQYAAAAAAwADALcAAAD4AgAAAAA=&#10;" strokecolor="#6c2c91" strokeweight="13pt">
            <v:stroke joinstyle="miter" endcap="round"/>
          </v:line>
          <v:line id="Straight Connector 10" o:spid="_x0000_s1030" style="position:absolute;visibility:visibl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1w+wwAAANsAAAAPAAAAZHJzL2Rvd25yZXYueG1sRI9Ba8JA&#10;EIXvBf/DMoKXUjf1IDW6ihQEj5oWobchOybR7GzcXTX+e+cg9DbDe/PeN4tV71p1oxAbzwY+xxko&#10;4tLbhisDvz+bjy9QMSFbbD2TgQdFWC0HbwvMrb/znm5FqpSEcMzRQJ1Sl2sdy5ocxrHviEU7+uAw&#10;yRoqbQPeJdy1epJlU+2wYWmosaPvmspzcXUG3OFvkpUznm2nh/fL7hSKjXs0xoyG/XoOKlGf/s2v&#10;660VfKGXX2QAvXwCAAD//wMAUEsBAi0AFAAGAAgAAAAhANvh9svuAAAAhQEAABMAAAAAAAAAAAAA&#10;AAAAAAAAAFtDb250ZW50X1R5cGVzXS54bWxQSwECLQAUAAYACAAAACEAWvQsW78AAAAVAQAACwAA&#10;AAAAAAAAAAAAAAAfAQAAX3JlbHMvLnJlbHNQSwECLQAUAAYACAAAACEATetcPsMAAADbAAAADwAA&#10;AAAAAAAAAAAAAAAHAgAAZHJzL2Rvd25yZXYueG1sUEsFBgAAAAADAAMAtwAAAPcCAAAAAA==&#10;" strokecolor="#eae0f0" strokeweight="6pt">
            <v:stroke joinstyle="miter" endcap="round"/>
          </v:lin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0988" w14:textId="73B3BB90" w:rsidR="00D4150F" w:rsidRPr="0039231D" w:rsidRDefault="006A2DB1">
    <w:pPr>
      <w:pStyle w:val="Header"/>
    </w:pPr>
    <w:r>
      <w:rPr>
        <w:noProof/>
      </w:rPr>
      <w:pict w14:anchorId="7B824B58">
        <v:group id="Group 2" o:spid="_x0000_s1025" style="position:absolute;margin-left:-199.15pt;margin-top:38.8pt;width:483.8pt;height:13.5pt;z-index:251658240"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IXgIAALUHAAAOAAAAZHJzL2Uyb0RvYy54bWzsld1umzAUx+8n7R0s7hcgIWRFIdWUJrmZ&#10;tqrZHsAxBiwZ27LdkLz9jk0gXTp1bbbd7QawOZ8//gfPbw8NR3uqDZMiD+JRFCAqiCyYqPLg+7f1&#10;h48BMhaLAnMpaB4cqQluF+/fzVuV0bGsJS+oRhBEmKxVeVBbq7IwNKSmDTYjqaiAl6XUDbaw1FVY&#10;aNxC9IaH4yhKw1bqQmlJqDGwe9e9DBY+fllSYr+WpaEW8TyA2qy/an/duWu4mOOs0ljVjJzKwFdU&#10;0WAmIOkQ6g5bjB41exaqYURLI0s7IrIJZVkyQn0P0E0cXXSz0fJR+V6qrK3UgAnQXnC6Oiz5st9o&#10;tVX3Gki0qgIWfuV6OZS6cXeoEh08suOAjB4sIrCZxkkyToEsgXfxLE6mJ6akBvDP3Ei9etkx7NOG&#10;PxXTKpCHORMwf0ZgW2NFPViTAYF7jViRB5MACdyASLdWY1bVFi2lECAhqdHEKcVVAeZLcaJlMgPg&#10;Xo9qkswm0w6VpzQ0izOljd1Q2SD3kAecCVcfzvD+s7GQGkx7E7fNBWqBdzqNI8cew+RoUXgPIzkr&#10;1oxzZ2d0tVtyjfYY9J8ux8ub2DUC0Z6YwYoL2HTtdQ35J3vktMv1QEsABF877jK44aRDWEwIFbaP&#10;ywVYO7cSShgco987nuydK/WD+xbnwcNnlsIOzg0TUv8quz30JZedfU+g69sh2Mni6D+1RwP66yTw&#10;z4WYvCDE5E1CvJmOQXAXo3me3b8tyFkK/+RX63H1aRWt+0H4r8er9Oh/k3A2+Jk+nWPu8Hm69sI+&#10;n7aLHwAAAP//AwBQSwMEFAAGAAgAAAAhAJ7WXFXiAAAACwEAAA8AAABkcnMvZG93bnJldi54bWxM&#10;j8FugkAQhu9N+g6badKbLpSKiizGmLYnY1Jt0nhbYQQiO0vYFfDtOz21x5n58s/3p+vRNKLHztWW&#10;FITTAARSbouaSgVfx/fJAoTzmgrdWEIFd3Swzh4fUp0UdqBP7A++FBxCLtEKKu/bREqXV2i0m9oW&#10;iW8X2xnteexKWXR64HDTyJcgiKXRNfGHSre4rTC/Hm5Gwcegh00UvvW762V7Px1n++9diEo9P42b&#10;FQiPo/+D4Vef1SFjp7O9UeFEo2ASLRcRswrm8xgEE7N4yYszo8FrDDJL5f8O2Q8AAAD//wMAUEsB&#10;Ai0AFAAGAAgAAAAhALaDOJL+AAAA4QEAABMAAAAAAAAAAAAAAAAAAAAAAFtDb250ZW50X1R5cGVz&#10;XS54bWxQSwECLQAUAAYACAAAACEAOP0h/9YAAACUAQAACwAAAAAAAAAAAAAAAAAvAQAAX3JlbHMv&#10;LnJlbHNQSwECLQAUAAYACAAAACEAAsKPyF4CAAC1BwAADgAAAAAAAAAAAAAAAAAuAgAAZHJzL2Uy&#10;b0RvYy54bWxQSwECLQAUAAYACAAAACEAntZcVeIAAAALAQAADwAAAAAAAAAAAAAAAAC4BAAAZHJz&#10;L2Rvd25yZXYueG1sUEsFBgAAAAAEAAQA8wAAAMcFAAAAAA==&#10;">
          <v:line id="Straight Connector 3" o:spid="_x0000_s1026" style="position:absolute;visibility:visibl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bAxAAAANoAAAAPAAAAZHJzL2Rvd25yZXYueG1sRI9Ba8JA&#10;FITvBf/D8gQvRTdaKJq6ioot9WaitNdH9jWJZt/G7Nak/94VCh6HmfmGmS87U4krNa60rGA8ikAQ&#10;Z1aXnCs4Ht6HUxDOI2usLJOCP3KwXPSe5hhr23JC19TnIkDYxaig8L6OpXRZQQbdyNbEwfuxjUEf&#10;ZJNL3WAb4KaSkyh6lQZLDgsF1rQpKDunv0bB9+y031WX5zTZHbdtcthMvrL1h1KDfrd6A+Gp84/w&#10;f/tTK3iB+5VwA+TiBgAA//8DAFBLAQItABQABgAIAAAAIQDb4fbL7gAAAIUBAAATAAAAAAAAAAAA&#10;AAAAAAAAAABbQ29udGVudF9UeXBlc10ueG1sUEsBAi0AFAAGAAgAAAAhAFr0LFu/AAAAFQEAAAsA&#10;AAAAAAAAAAAAAAAAHwEAAF9yZWxzLy5yZWxzUEsBAi0AFAAGAAgAAAAhAHQyhsDEAAAA2gAAAA8A&#10;AAAAAAAAAAAAAAAABwIAAGRycy9kb3ducmV2LnhtbFBLBQYAAAAAAwADALcAAAD4AgAAAAA=&#10;" strokecolor="#6c2c91" strokeweight="13pt">
            <v:stroke joinstyle="miter" endcap="round"/>
          </v:line>
          <v:line id="Straight Connector 4" o:spid="_x0000_s1027" style="position:absolute;visibility:visibl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OZwwAAANoAAAAPAAAAZHJzL2Rvd25yZXYueG1sRI9Ba8JA&#10;FITvBf/D8gQvRTeGEmrqKiIIHm1aBG+P7GuSNvs27q4m+fduodDjMDPfMOvtYFpxJ+cbywqWiwQE&#10;cWl1w5WCz4/D/BWED8gaW8ukYCQP283kaY25tj2/070IlYgQ9jkqqEPocil9WZNBv7AdcfS+rDMY&#10;onSV1A77CDetTJMkkwYbjgs1drSvqfwpbkaBOV/SpFzx6pidn6+nb1cczNgoNZsOuzcQgYbwH/5r&#10;H7WCF/i9Em+A3DwAAAD//wMAUEsBAi0AFAAGAAgAAAAhANvh9svuAAAAhQEAABMAAAAAAAAAAAAA&#10;AAAAAAAAAFtDb250ZW50X1R5cGVzXS54bWxQSwECLQAUAAYACAAAACEAWvQsW78AAAAVAQAACwAA&#10;AAAAAAAAAAAAAAAfAQAAX3JlbHMvLnJlbHNQSwECLQAUAAYACAAAACEAoZNTmcMAAADaAAAADwAA&#10;AAAAAAAAAAAAAAAHAgAAZHJzL2Rvd25yZXYueG1sUEsFBgAAAAADAAMAtwAAAPcCAAAAAA==&#10;" strokecolor="#eae0f0" strokeweight="6pt">
            <v:stroke joinstyle="miter" endcap="round"/>
          </v:line>
        </v:group>
      </w:pict>
    </w:r>
    <w:r w:rsidR="00D4150F" w:rsidRPr="005B500E">
      <w:rPr>
        <w:noProof/>
        <w:lang w:eastAsia="en-GB"/>
      </w:rPr>
      <w:drawing>
        <wp:anchor distT="0" distB="0" distL="114300" distR="114300" simplePos="0" relativeHeight="251658241" behindDoc="0" locked="0" layoutInCell="1" allowOverlap="1" wp14:anchorId="0F7B64B1" wp14:editId="0BD2A682">
          <wp:simplePos x="0" y="0"/>
          <wp:positionH relativeFrom="column">
            <wp:posOffset>3807460</wp:posOffset>
          </wp:positionH>
          <wp:positionV relativeFrom="paragraph">
            <wp:posOffset>330835</wp:posOffset>
          </wp:positionV>
          <wp:extent cx="2440305" cy="82042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0A87F"/>
    <w:multiLevelType w:val="hybridMultilevel"/>
    <w:tmpl w:val="33721406"/>
    <w:lvl w:ilvl="0" w:tplc="A9FE0A0A">
      <w:start w:val="1"/>
      <w:numFmt w:val="bullet"/>
      <w:lvlText w:val=""/>
      <w:lvlJc w:val="left"/>
      <w:pPr>
        <w:ind w:left="720" w:hanging="360"/>
      </w:pPr>
      <w:rPr>
        <w:rFonts w:ascii="Symbol" w:hAnsi="Symbol" w:hint="default"/>
      </w:rPr>
    </w:lvl>
    <w:lvl w:ilvl="1" w:tplc="5ED4730C">
      <w:start w:val="1"/>
      <w:numFmt w:val="bullet"/>
      <w:lvlText w:val="o"/>
      <w:lvlJc w:val="left"/>
      <w:pPr>
        <w:ind w:left="1440" w:hanging="360"/>
      </w:pPr>
      <w:rPr>
        <w:rFonts w:ascii="Courier New" w:hAnsi="Courier New" w:hint="default"/>
      </w:rPr>
    </w:lvl>
    <w:lvl w:ilvl="2" w:tplc="FE78D07C">
      <w:start w:val="1"/>
      <w:numFmt w:val="bullet"/>
      <w:lvlText w:val=""/>
      <w:lvlJc w:val="left"/>
      <w:pPr>
        <w:ind w:left="2160" w:hanging="360"/>
      </w:pPr>
      <w:rPr>
        <w:rFonts w:ascii="Wingdings" w:hAnsi="Wingdings" w:hint="default"/>
      </w:rPr>
    </w:lvl>
    <w:lvl w:ilvl="3" w:tplc="D6D4FDB4">
      <w:start w:val="1"/>
      <w:numFmt w:val="bullet"/>
      <w:lvlText w:val=""/>
      <w:lvlJc w:val="left"/>
      <w:pPr>
        <w:ind w:left="2880" w:hanging="360"/>
      </w:pPr>
      <w:rPr>
        <w:rFonts w:ascii="Symbol" w:hAnsi="Symbol" w:hint="default"/>
      </w:rPr>
    </w:lvl>
    <w:lvl w:ilvl="4" w:tplc="7F24047C">
      <w:start w:val="1"/>
      <w:numFmt w:val="bullet"/>
      <w:lvlText w:val="o"/>
      <w:lvlJc w:val="left"/>
      <w:pPr>
        <w:ind w:left="3600" w:hanging="360"/>
      </w:pPr>
      <w:rPr>
        <w:rFonts w:ascii="Courier New" w:hAnsi="Courier New" w:hint="default"/>
      </w:rPr>
    </w:lvl>
    <w:lvl w:ilvl="5" w:tplc="4CE428CC">
      <w:start w:val="1"/>
      <w:numFmt w:val="bullet"/>
      <w:lvlText w:val=""/>
      <w:lvlJc w:val="left"/>
      <w:pPr>
        <w:ind w:left="4320" w:hanging="360"/>
      </w:pPr>
      <w:rPr>
        <w:rFonts w:ascii="Wingdings" w:hAnsi="Wingdings" w:hint="default"/>
      </w:rPr>
    </w:lvl>
    <w:lvl w:ilvl="6" w:tplc="87D8FE80">
      <w:start w:val="1"/>
      <w:numFmt w:val="bullet"/>
      <w:lvlText w:val=""/>
      <w:lvlJc w:val="left"/>
      <w:pPr>
        <w:ind w:left="5040" w:hanging="360"/>
      </w:pPr>
      <w:rPr>
        <w:rFonts w:ascii="Symbol" w:hAnsi="Symbol" w:hint="default"/>
      </w:rPr>
    </w:lvl>
    <w:lvl w:ilvl="7" w:tplc="03F4E9EA">
      <w:start w:val="1"/>
      <w:numFmt w:val="bullet"/>
      <w:lvlText w:val="o"/>
      <w:lvlJc w:val="left"/>
      <w:pPr>
        <w:ind w:left="5760" w:hanging="360"/>
      </w:pPr>
      <w:rPr>
        <w:rFonts w:ascii="Courier New" w:hAnsi="Courier New" w:hint="default"/>
      </w:rPr>
    </w:lvl>
    <w:lvl w:ilvl="8" w:tplc="560A372E">
      <w:start w:val="1"/>
      <w:numFmt w:val="bullet"/>
      <w:lvlText w:val=""/>
      <w:lvlJc w:val="left"/>
      <w:pPr>
        <w:ind w:left="6480" w:hanging="360"/>
      </w:pPr>
      <w:rPr>
        <w:rFonts w:ascii="Wingdings" w:hAnsi="Wingdings" w:hint="default"/>
      </w:rPr>
    </w:lvl>
  </w:abstractNum>
  <w:abstractNum w:abstractNumId="1" w15:restartNumberingAfterBreak="0">
    <w:nsid w:val="218D4E55"/>
    <w:multiLevelType w:val="hybridMultilevel"/>
    <w:tmpl w:val="0F78C6E4"/>
    <w:lvl w:ilvl="0" w:tplc="632A98C4">
      <w:start w:val="1"/>
      <w:numFmt w:val="lowerLetter"/>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ADF347E"/>
    <w:multiLevelType w:val="hybridMultilevel"/>
    <w:tmpl w:val="EE7EF6B4"/>
    <w:lvl w:ilvl="0" w:tplc="F172221E">
      <w:start w:val="1"/>
      <w:numFmt w:val="bullet"/>
      <w:lvlText w:val=""/>
      <w:lvlJc w:val="left"/>
      <w:pPr>
        <w:ind w:left="720" w:hanging="360"/>
      </w:pPr>
      <w:rPr>
        <w:rFonts w:ascii="Symbol" w:hAnsi="Symbol" w:hint="default"/>
      </w:rPr>
    </w:lvl>
    <w:lvl w:ilvl="1" w:tplc="6156AF42">
      <w:start w:val="1"/>
      <w:numFmt w:val="bullet"/>
      <w:lvlText w:val="o"/>
      <w:lvlJc w:val="left"/>
      <w:pPr>
        <w:ind w:left="1440" w:hanging="360"/>
      </w:pPr>
      <w:rPr>
        <w:rFonts w:ascii="Courier New" w:hAnsi="Courier New" w:hint="default"/>
      </w:rPr>
    </w:lvl>
    <w:lvl w:ilvl="2" w:tplc="EE20FBD0">
      <w:start w:val="1"/>
      <w:numFmt w:val="bullet"/>
      <w:lvlText w:val=""/>
      <w:lvlJc w:val="left"/>
      <w:pPr>
        <w:ind w:left="2160" w:hanging="360"/>
      </w:pPr>
      <w:rPr>
        <w:rFonts w:ascii="Wingdings" w:hAnsi="Wingdings" w:hint="default"/>
      </w:rPr>
    </w:lvl>
    <w:lvl w:ilvl="3" w:tplc="F0E42440">
      <w:start w:val="1"/>
      <w:numFmt w:val="bullet"/>
      <w:lvlText w:val=""/>
      <w:lvlJc w:val="left"/>
      <w:pPr>
        <w:ind w:left="2880" w:hanging="360"/>
      </w:pPr>
      <w:rPr>
        <w:rFonts w:ascii="Symbol" w:hAnsi="Symbol" w:hint="default"/>
      </w:rPr>
    </w:lvl>
    <w:lvl w:ilvl="4" w:tplc="F1D2B9E2">
      <w:start w:val="1"/>
      <w:numFmt w:val="bullet"/>
      <w:lvlText w:val="o"/>
      <w:lvlJc w:val="left"/>
      <w:pPr>
        <w:ind w:left="3600" w:hanging="360"/>
      </w:pPr>
      <w:rPr>
        <w:rFonts w:ascii="Courier New" w:hAnsi="Courier New" w:hint="default"/>
      </w:rPr>
    </w:lvl>
    <w:lvl w:ilvl="5" w:tplc="B23C4084">
      <w:start w:val="1"/>
      <w:numFmt w:val="bullet"/>
      <w:lvlText w:val=""/>
      <w:lvlJc w:val="left"/>
      <w:pPr>
        <w:ind w:left="4320" w:hanging="360"/>
      </w:pPr>
      <w:rPr>
        <w:rFonts w:ascii="Wingdings" w:hAnsi="Wingdings" w:hint="default"/>
      </w:rPr>
    </w:lvl>
    <w:lvl w:ilvl="6" w:tplc="6D1C2310">
      <w:start w:val="1"/>
      <w:numFmt w:val="bullet"/>
      <w:lvlText w:val=""/>
      <w:lvlJc w:val="left"/>
      <w:pPr>
        <w:ind w:left="5040" w:hanging="360"/>
      </w:pPr>
      <w:rPr>
        <w:rFonts w:ascii="Symbol" w:hAnsi="Symbol" w:hint="default"/>
      </w:rPr>
    </w:lvl>
    <w:lvl w:ilvl="7" w:tplc="742063F0">
      <w:start w:val="1"/>
      <w:numFmt w:val="bullet"/>
      <w:lvlText w:val="o"/>
      <w:lvlJc w:val="left"/>
      <w:pPr>
        <w:ind w:left="5760" w:hanging="360"/>
      </w:pPr>
      <w:rPr>
        <w:rFonts w:ascii="Courier New" w:hAnsi="Courier New" w:hint="default"/>
      </w:rPr>
    </w:lvl>
    <w:lvl w:ilvl="8" w:tplc="718EF600">
      <w:start w:val="1"/>
      <w:numFmt w:val="bullet"/>
      <w:lvlText w:val=""/>
      <w:lvlJc w:val="left"/>
      <w:pPr>
        <w:ind w:left="6480" w:hanging="360"/>
      </w:pPr>
      <w:rPr>
        <w:rFonts w:ascii="Wingdings" w:hAnsi="Wingdings" w:hint="default"/>
      </w:rPr>
    </w:lvl>
  </w:abstractNum>
  <w:abstractNum w:abstractNumId="3" w15:restartNumberingAfterBreak="0">
    <w:nsid w:val="4B0422BD"/>
    <w:multiLevelType w:val="multilevel"/>
    <w:tmpl w:val="EA6A64F6"/>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4" w15:restartNumberingAfterBreak="0">
    <w:nsid w:val="5AF38E42"/>
    <w:multiLevelType w:val="multilevel"/>
    <w:tmpl w:val="863E5E8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E0D90"/>
    <w:multiLevelType w:val="hybridMultilevel"/>
    <w:tmpl w:val="F9A0FE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7D0E3508"/>
    <w:multiLevelType w:val="hybridMultilevel"/>
    <w:tmpl w:val="0DB4F074"/>
    <w:lvl w:ilvl="0" w:tplc="355A39EA">
      <w:start w:val="1"/>
      <w:numFmt w:val="bullet"/>
      <w:lvlText w:val=""/>
      <w:lvlJc w:val="left"/>
      <w:pPr>
        <w:ind w:left="720" w:hanging="360"/>
      </w:pPr>
      <w:rPr>
        <w:rFonts w:ascii="Symbol" w:hAnsi="Symbol" w:hint="default"/>
      </w:rPr>
    </w:lvl>
    <w:lvl w:ilvl="1" w:tplc="59E624CC">
      <w:start w:val="1"/>
      <w:numFmt w:val="bullet"/>
      <w:lvlText w:val=""/>
      <w:lvlJc w:val="left"/>
      <w:pPr>
        <w:ind w:left="1440" w:hanging="360"/>
      </w:pPr>
      <w:rPr>
        <w:rFonts w:ascii="Symbol" w:hAnsi="Symbol" w:hint="default"/>
      </w:rPr>
    </w:lvl>
    <w:lvl w:ilvl="2" w:tplc="0DC6B996">
      <w:start w:val="1"/>
      <w:numFmt w:val="bullet"/>
      <w:lvlText w:val=""/>
      <w:lvlJc w:val="left"/>
      <w:pPr>
        <w:ind w:left="2160" w:hanging="360"/>
      </w:pPr>
      <w:rPr>
        <w:rFonts w:ascii="Wingdings" w:hAnsi="Wingdings" w:hint="default"/>
      </w:rPr>
    </w:lvl>
    <w:lvl w:ilvl="3" w:tplc="4C18C60E">
      <w:start w:val="1"/>
      <w:numFmt w:val="bullet"/>
      <w:lvlText w:val=""/>
      <w:lvlJc w:val="left"/>
      <w:pPr>
        <w:ind w:left="2880" w:hanging="360"/>
      </w:pPr>
      <w:rPr>
        <w:rFonts w:ascii="Symbol" w:hAnsi="Symbol" w:hint="default"/>
      </w:rPr>
    </w:lvl>
    <w:lvl w:ilvl="4" w:tplc="A6D0013E">
      <w:start w:val="1"/>
      <w:numFmt w:val="bullet"/>
      <w:lvlText w:val="o"/>
      <w:lvlJc w:val="left"/>
      <w:pPr>
        <w:ind w:left="3600" w:hanging="360"/>
      </w:pPr>
      <w:rPr>
        <w:rFonts w:ascii="Courier New" w:hAnsi="Courier New" w:hint="default"/>
      </w:rPr>
    </w:lvl>
    <w:lvl w:ilvl="5" w:tplc="2632C652">
      <w:start w:val="1"/>
      <w:numFmt w:val="bullet"/>
      <w:lvlText w:val=""/>
      <w:lvlJc w:val="left"/>
      <w:pPr>
        <w:ind w:left="4320" w:hanging="360"/>
      </w:pPr>
      <w:rPr>
        <w:rFonts w:ascii="Wingdings" w:hAnsi="Wingdings" w:hint="default"/>
      </w:rPr>
    </w:lvl>
    <w:lvl w:ilvl="6" w:tplc="EF4241A6">
      <w:start w:val="1"/>
      <w:numFmt w:val="bullet"/>
      <w:lvlText w:val=""/>
      <w:lvlJc w:val="left"/>
      <w:pPr>
        <w:ind w:left="5040" w:hanging="360"/>
      </w:pPr>
      <w:rPr>
        <w:rFonts w:ascii="Symbol" w:hAnsi="Symbol" w:hint="default"/>
      </w:rPr>
    </w:lvl>
    <w:lvl w:ilvl="7" w:tplc="D16C9866">
      <w:start w:val="1"/>
      <w:numFmt w:val="bullet"/>
      <w:lvlText w:val="o"/>
      <w:lvlJc w:val="left"/>
      <w:pPr>
        <w:ind w:left="5760" w:hanging="360"/>
      </w:pPr>
      <w:rPr>
        <w:rFonts w:ascii="Courier New" w:hAnsi="Courier New" w:hint="default"/>
      </w:rPr>
    </w:lvl>
    <w:lvl w:ilvl="8" w:tplc="F1AA9894">
      <w:start w:val="1"/>
      <w:numFmt w:val="bullet"/>
      <w:lvlText w:val=""/>
      <w:lvlJc w:val="left"/>
      <w:pPr>
        <w:ind w:left="6480" w:hanging="360"/>
      </w:pPr>
      <w:rPr>
        <w:rFonts w:ascii="Wingdings" w:hAnsi="Wingdings" w:hint="default"/>
      </w:rPr>
    </w:lvl>
  </w:abstractNum>
  <w:num w:numId="1" w16cid:durableId="37706823">
    <w:abstractNumId w:val="3"/>
  </w:num>
  <w:num w:numId="2" w16cid:durableId="2124112002">
    <w:abstractNumId w:val="1"/>
  </w:num>
  <w:num w:numId="3" w16cid:durableId="1080831885">
    <w:abstractNumId w:val="4"/>
  </w:num>
  <w:num w:numId="4" w16cid:durableId="1289551974">
    <w:abstractNumId w:val="2"/>
  </w:num>
  <w:num w:numId="5" w16cid:durableId="250746279">
    <w:abstractNumId w:val="0"/>
  </w:num>
  <w:num w:numId="6" w16cid:durableId="1778014124">
    <w:abstractNumId w:val="6"/>
  </w:num>
  <w:num w:numId="7" w16cid:durableId="1233850828">
    <w:abstractNumId w:val="5"/>
  </w:num>
  <w:num w:numId="8" w16cid:durableId="1038550409">
    <w:abstractNumId w:val="3"/>
  </w:num>
  <w:num w:numId="9" w16cid:durableId="236061478">
    <w:abstractNumId w:val="3"/>
  </w:num>
  <w:num w:numId="10" w16cid:durableId="965087052">
    <w:abstractNumId w:val="3"/>
  </w:num>
  <w:num w:numId="11" w16cid:durableId="916355537">
    <w:abstractNumId w:val="3"/>
  </w:num>
  <w:num w:numId="12" w16cid:durableId="603924426">
    <w:abstractNumId w:val="3"/>
  </w:num>
  <w:num w:numId="13" w16cid:durableId="723873149">
    <w:abstractNumId w:val="3"/>
  </w:num>
  <w:num w:numId="14" w16cid:durableId="1369524165">
    <w:abstractNumId w:val="3"/>
  </w:num>
  <w:num w:numId="15" w16cid:durableId="442192860">
    <w:abstractNumId w:val="3"/>
  </w:num>
  <w:num w:numId="16" w16cid:durableId="1190994376">
    <w:abstractNumId w:val="3"/>
  </w:num>
  <w:num w:numId="17" w16cid:durableId="323556731">
    <w:abstractNumId w:val="3"/>
  </w:num>
  <w:num w:numId="18" w16cid:durableId="1291284107">
    <w:abstractNumId w:val="3"/>
  </w:num>
  <w:num w:numId="19" w16cid:durableId="757285032">
    <w:abstractNumId w:val="3"/>
  </w:num>
  <w:num w:numId="20" w16cid:durableId="413090329">
    <w:abstractNumId w:val="3"/>
  </w:num>
  <w:num w:numId="21" w16cid:durableId="1196163781">
    <w:abstractNumId w:val="3"/>
  </w:num>
  <w:num w:numId="22" w16cid:durableId="1266499068">
    <w:abstractNumId w:val="3"/>
  </w:num>
  <w:num w:numId="23" w16cid:durableId="1457215022">
    <w:abstractNumId w:val="3"/>
  </w:num>
  <w:num w:numId="24" w16cid:durableId="1294676943">
    <w:abstractNumId w:val="3"/>
  </w:num>
  <w:num w:numId="25" w16cid:durableId="1067798899">
    <w:abstractNumId w:val="3"/>
  </w:num>
  <w:num w:numId="26" w16cid:durableId="244651048">
    <w:abstractNumId w:val="3"/>
  </w:num>
  <w:num w:numId="27" w16cid:durableId="521819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rules v:ext="edit">
        <o:r id="V:Rule1" type="connector" idref="#Straight Connector 3"/>
        <o:r id="V:Rule2" type="connector" idref="#Straight Connector 4"/>
        <o:r id="V:Rule3" type="connector" idref="#Straight Connector 9"/>
        <o:r id="V:Rule4" type="connector" idref="#Straight Connector 10"/>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E4756"/>
    <w:rsid w:val="00000747"/>
    <w:rsid w:val="00000A66"/>
    <w:rsid w:val="00025588"/>
    <w:rsid w:val="000710B4"/>
    <w:rsid w:val="000913D5"/>
    <w:rsid w:val="000A240B"/>
    <w:rsid w:val="000E3ED4"/>
    <w:rsid w:val="000F2CC0"/>
    <w:rsid w:val="000F728E"/>
    <w:rsid w:val="0015027E"/>
    <w:rsid w:val="00225379"/>
    <w:rsid w:val="00233687"/>
    <w:rsid w:val="0026637C"/>
    <w:rsid w:val="0028388F"/>
    <w:rsid w:val="00320F9B"/>
    <w:rsid w:val="003606C8"/>
    <w:rsid w:val="003C01C5"/>
    <w:rsid w:val="003C6AE8"/>
    <w:rsid w:val="004C71BD"/>
    <w:rsid w:val="004E1ACC"/>
    <w:rsid w:val="004E6CC6"/>
    <w:rsid w:val="004F5CD2"/>
    <w:rsid w:val="005073C5"/>
    <w:rsid w:val="005079EA"/>
    <w:rsid w:val="00513E50"/>
    <w:rsid w:val="00517E46"/>
    <w:rsid w:val="005E491F"/>
    <w:rsid w:val="00635EBC"/>
    <w:rsid w:val="006A2DB1"/>
    <w:rsid w:val="00705212"/>
    <w:rsid w:val="00826883"/>
    <w:rsid w:val="00832029"/>
    <w:rsid w:val="008552CA"/>
    <w:rsid w:val="00856E26"/>
    <w:rsid w:val="008874B4"/>
    <w:rsid w:val="008A4598"/>
    <w:rsid w:val="008B41D3"/>
    <w:rsid w:val="008E2505"/>
    <w:rsid w:val="00900580"/>
    <w:rsid w:val="00970958"/>
    <w:rsid w:val="00995B73"/>
    <w:rsid w:val="009A19AD"/>
    <w:rsid w:val="009B7B42"/>
    <w:rsid w:val="00A170F2"/>
    <w:rsid w:val="00A40A04"/>
    <w:rsid w:val="00A542B2"/>
    <w:rsid w:val="00AA3E7A"/>
    <w:rsid w:val="00AC0725"/>
    <w:rsid w:val="00B64D27"/>
    <w:rsid w:val="00B971E5"/>
    <w:rsid w:val="00C001E4"/>
    <w:rsid w:val="00C235B6"/>
    <w:rsid w:val="00D20D1A"/>
    <w:rsid w:val="00D33F19"/>
    <w:rsid w:val="00D4150F"/>
    <w:rsid w:val="00D5419C"/>
    <w:rsid w:val="00DE0A88"/>
    <w:rsid w:val="00E07E30"/>
    <w:rsid w:val="00E96D02"/>
    <w:rsid w:val="00ED0211"/>
    <w:rsid w:val="00EF7151"/>
    <w:rsid w:val="00F22569"/>
    <w:rsid w:val="00FE4756"/>
    <w:rsid w:val="0477EC85"/>
    <w:rsid w:val="0480432E"/>
    <w:rsid w:val="06717EFF"/>
    <w:rsid w:val="06945970"/>
    <w:rsid w:val="07E11F05"/>
    <w:rsid w:val="081B0006"/>
    <w:rsid w:val="081E7340"/>
    <w:rsid w:val="093B5EFD"/>
    <w:rsid w:val="0A6448D9"/>
    <w:rsid w:val="0ADAACFB"/>
    <w:rsid w:val="0D1BDE64"/>
    <w:rsid w:val="10BA18AC"/>
    <w:rsid w:val="16C37DD2"/>
    <w:rsid w:val="1810F455"/>
    <w:rsid w:val="19C01CBF"/>
    <w:rsid w:val="1C7759AE"/>
    <w:rsid w:val="1D6540E5"/>
    <w:rsid w:val="1EB0C98A"/>
    <w:rsid w:val="20E2E155"/>
    <w:rsid w:val="23A92CB5"/>
    <w:rsid w:val="266A86E0"/>
    <w:rsid w:val="28A84817"/>
    <w:rsid w:val="28D1B60E"/>
    <w:rsid w:val="2BA6B762"/>
    <w:rsid w:val="2BB08354"/>
    <w:rsid w:val="2D6F0CC8"/>
    <w:rsid w:val="330A2B84"/>
    <w:rsid w:val="38579A1B"/>
    <w:rsid w:val="3927BDBD"/>
    <w:rsid w:val="39B0D2FB"/>
    <w:rsid w:val="39F88D63"/>
    <w:rsid w:val="3CD40CBB"/>
    <w:rsid w:val="3D105FC9"/>
    <w:rsid w:val="40B0A481"/>
    <w:rsid w:val="41006E3A"/>
    <w:rsid w:val="45A9B392"/>
    <w:rsid w:val="45FF7DE0"/>
    <w:rsid w:val="4826D3EE"/>
    <w:rsid w:val="49B3BF53"/>
    <w:rsid w:val="4C5DEE28"/>
    <w:rsid w:val="4CAAF9BA"/>
    <w:rsid w:val="4D4DD652"/>
    <w:rsid w:val="4E9F3756"/>
    <w:rsid w:val="4EA54C11"/>
    <w:rsid w:val="4FEB5C5D"/>
    <w:rsid w:val="52A8CEBE"/>
    <w:rsid w:val="5510CE29"/>
    <w:rsid w:val="592F8DA3"/>
    <w:rsid w:val="5F75DECD"/>
    <w:rsid w:val="62BF2963"/>
    <w:rsid w:val="65AA4F40"/>
    <w:rsid w:val="65D6EC2C"/>
    <w:rsid w:val="674F4458"/>
    <w:rsid w:val="6CCB5C65"/>
    <w:rsid w:val="6E7AC979"/>
    <w:rsid w:val="714AFD78"/>
    <w:rsid w:val="719DA05B"/>
    <w:rsid w:val="71B59B77"/>
    <w:rsid w:val="721D2D01"/>
    <w:rsid w:val="7459DBEB"/>
    <w:rsid w:val="74FA625C"/>
    <w:rsid w:val="750DCAB1"/>
    <w:rsid w:val="7542C4BD"/>
    <w:rsid w:val="7605F654"/>
    <w:rsid w:val="76BCEE77"/>
    <w:rsid w:val="77D36BC4"/>
    <w:rsid w:val="786156DE"/>
    <w:rsid w:val="79F8C88C"/>
    <w:rsid w:val="7AF195C3"/>
    <w:rsid w:val="7CC4F8C0"/>
    <w:rsid w:val="7D79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92097"/>
  <w15:chartTrackingRefBased/>
  <w15:docId w15:val="{13225CC4-4598-4AEF-8432-FF2D01EF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56"/>
    <w:pPr>
      <w:spacing w:after="0" w:line="240" w:lineRule="auto"/>
    </w:pPr>
    <w:rPr>
      <w:rFonts w:ascii="Arial" w:eastAsia="Times New Roman" w:hAnsi="Arial" w:cs="Tahoma"/>
      <w:kern w:val="0"/>
      <w:sz w:val="24"/>
      <w:szCs w:val="24"/>
    </w:rPr>
  </w:style>
  <w:style w:type="paragraph" w:styleId="Heading1">
    <w:name w:val="heading 1"/>
    <w:basedOn w:val="Normal"/>
    <w:next w:val="Heading2"/>
    <w:link w:val="Heading1Char"/>
    <w:qFormat/>
    <w:rsid w:val="00FE4756"/>
    <w:pPr>
      <w:keepNext/>
      <w:numPr>
        <w:numId w:val="1"/>
      </w:numPr>
      <w:spacing w:before="400" w:after="240"/>
      <w:outlineLvl w:val="0"/>
    </w:pPr>
    <w:rPr>
      <w:rFonts w:ascii="Arial Bold" w:hAnsi="Arial Bold" w:cs="Arial"/>
      <w:b/>
      <w:bCs/>
      <w:kern w:val="32"/>
      <w:szCs w:val="32"/>
    </w:rPr>
  </w:style>
  <w:style w:type="paragraph" w:styleId="Heading2">
    <w:name w:val="heading 2"/>
    <w:basedOn w:val="Heading1"/>
    <w:link w:val="Heading2Char"/>
    <w:autoRedefine/>
    <w:qFormat/>
    <w:rsid w:val="00FE4756"/>
    <w:pPr>
      <w:keepNext w:val="0"/>
      <w:numPr>
        <w:ilvl w:val="1"/>
      </w:numPr>
      <w:spacing w:before="60" w:after="60"/>
      <w:outlineLvl w:val="1"/>
    </w:pPr>
    <w:rPr>
      <w:rFonts w:ascii="Arial" w:hAnsi="Arial"/>
      <w:b w:val="0"/>
      <w:iCs/>
      <w:szCs w:val="28"/>
      <w:shd w:val="clear" w:color="auto" w:fill="FFFFFF"/>
    </w:rPr>
  </w:style>
  <w:style w:type="paragraph" w:styleId="Heading5">
    <w:name w:val="heading 5"/>
    <w:basedOn w:val="Normal"/>
    <w:next w:val="Normal"/>
    <w:link w:val="Heading5Char"/>
    <w:uiPriority w:val="9"/>
    <w:semiHidden/>
    <w:unhideWhenUsed/>
    <w:qFormat/>
    <w:rsid w:val="00A542B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756"/>
    <w:rPr>
      <w:rFonts w:ascii="Arial Bold" w:eastAsia="Times New Roman" w:hAnsi="Arial Bold" w:cs="Arial"/>
      <w:b/>
      <w:bCs/>
      <w:kern w:val="32"/>
      <w:sz w:val="24"/>
      <w:szCs w:val="32"/>
    </w:rPr>
  </w:style>
  <w:style w:type="character" w:customStyle="1" w:styleId="Heading2Char">
    <w:name w:val="Heading 2 Char"/>
    <w:basedOn w:val="DefaultParagraphFont"/>
    <w:link w:val="Heading2"/>
    <w:rsid w:val="00FE4756"/>
    <w:rPr>
      <w:rFonts w:ascii="Arial" w:eastAsia="Times New Roman" w:hAnsi="Arial" w:cs="Arial"/>
      <w:bCs/>
      <w:iCs/>
      <w:kern w:val="32"/>
      <w:sz w:val="24"/>
      <w:szCs w:val="28"/>
    </w:rPr>
  </w:style>
  <w:style w:type="character" w:styleId="Hyperlink">
    <w:name w:val="Hyperlink"/>
    <w:basedOn w:val="DefaultParagraphFont"/>
    <w:uiPriority w:val="99"/>
    <w:rsid w:val="00FE4756"/>
    <w:rPr>
      <w:color w:val="0000FF"/>
      <w:u w:val="single"/>
    </w:rPr>
  </w:style>
  <w:style w:type="paragraph" w:styleId="FootnoteText">
    <w:name w:val="footnote text"/>
    <w:basedOn w:val="Normal"/>
    <w:link w:val="FootnoteTextChar"/>
    <w:semiHidden/>
    <w:rsid w:val="00FE4756"/>
    <w:rPr>
      <w:rFonts w:cs="Times New Roman"/>
      <w:sz w:val="20"/>
      <w:szCs w:val="20"/>
    </w:rPr>
  </w:style>
  <w:style w:type="character" w:customStyle="1" w:styleId="FootnoteTextChar">
    <w:name w:val="Footnote Text Char"/>
    <w:basedOn w:val="DefaultParagraphFont"/>
    <w:link w:val="FootnoteText"/>
    <w:semiHidden/>
    <w:rsid w:val="00FE4756"/>
    <w:rPr>
      <w:rFonts w:ascii="Arial" w:eastAsia="Times New Roman" w:hAnsi="Arial" w:cs="Times New Roman"/>
      <w:kern w:val="0"/>
      <w:sz w:val="20"/>
      <w:szCs w:val="20"/>
    </w:rPr>
  </w:style>
  <w:style w:type="character" w:styleId="FootnoteReference">
    <w:name w:val="footnote reference"/>
    <w:basedOn w:val="DefaultParagraphFont"/>
    <w:semiHidden/>
    <w:rsid w:val="00FE4756"/>
    <w:rPr>
      <w:vertAlign w:val="superscript"/>
    </w:rPr>
  </w:style>
  <w:style w:type="paragraph" w:styleId="Footer">
    <w:name w:val="footer"/>
    <w:basedOn w:val="Normal"/>
    <w:link w:val="FooterChar"/>
    <w:uiPriority w:val="99"/>
    <w:rsid w:val="00FE4756"/>
    <w:pPr>
      <w:tabs>
        <w:tab w:val="center" w:pos="4320"/>
        <w:tab w:val="right" w:pos="8640"/>
      </w:tabs>
    </w:pPr>
  </w:style>
  <w:style w:type="character" w:customStyle="1" w:styleId="FooterChar">
    <w:name w:val="Footer Char"/>
    <w:basedOn w:val="DefaultParagraphFont"/>
    <w:link w:val="Footer"/>
    <w:uiPriority w:val="99"/>
    <w:rsid w:val="00FE4756"/>
    <w:rPr>
      <w:rFonts w:ascii="Arial" w:eastAsia="Times New Roman" w:hAnsi="Arial" w:cs="Tahoma"/>
      <w:kern w:val="0"/>
      <w:sz w:val="24"/>
      <w:szCs w:val="24"/>
    </w:rPr>
  </w:style>
  <w:style w:type="paragraph" w:styleId="Header">
    <w:name w:val="header"/>
    <w:basedOn w:val="Normal"/>
    <w:link w:val="HeaderChar"/>
    <w:rsid w:val="00FE4756"/>
    <w:pPr>
      <w:tabs>
        <w:tab w:val="center" w:pos="4320"/>
        <w:tab w:val="right" w:pos="8640"/>
      </w:tabs>
    </w:pPr>
  </w:style>
  <w:style w:type="character" w:customStyle="1" w:styleId="HeaderChar">
    <w:name w:val="Header Char"/>
    <w:basedOn w:val="DefaultParagraphFont"/>
    <w:link w:val="Header"/>
    <w:rsid w:val="00FE4756"/>
    <w:rPr>
      <w:rFonts w:ascii="Arial" w:eastAsia="Times New Roman" w:hAnsi="Arial" w:cs="Tahoma"/>
      <w:kern w:val="0"/>
      <w:sz w:val="24"/>
      <w:szCs w:val="24"/>
    </w:rPr>
  </w:style>
  <w:style w:type="character" w:styleId="Strong">
    <w:name w:val="Strong"/>
    <w:basedOn w:val="DefaultParagraphFont"/>
    <w:uiPriority w:val="22"/>
    <w:qFormat/>
    <w:rsid w:val="00FE4756"/>
    <w:rPr>
      <w:b/>
      <w:bCs/>
    </w:rPr>
  </w:style>
  <w:style w:type="character" w:styleId="UnresolvedMention">
    <w:name w:val="Unresolved Mention"/>
    <w:basedOn w:val="DefaultParagraphFont"/>
    <w:uiPriority w:val="99"/>
    <w:semiHidden/>
    <w:unhideWhenUsed/>
    <w:rsid w:val="00233687"/>
    <w:rPr>
      <w:color w:val="605E5C"/>
      <w:shd w:val="clear" w:color="auto" w:fill="E1DFDD"/>
    </w:rPr>
  </w:style>
  <w:style w:type="character" w:styleId="FollowedHyperlink">
    <w:name w:val="FollowedHyperlink"/>
    <w:basedOn w:val="DefaultParagraphFont"/>
    <w:uiPriority w:val="99"/>
    <w:semiHidden/>
    <w:unhideWhenUsed/>
    <w:rsid w:val="00E07E30"/>
    <w:rPr>
      <w:color w:val="954F72" w:themeColor="followedHyperlink"/>
      <w:u w:val="single"/>
    </w:rPr>
  </w:style>
  <w:style w:type="paragraph" w:styleId="ListParagraph">
    <w:name w:val="List Paragraph"/>
    <w:basedOn w:val="Normal"/>
    <w:uiPriority w:val="34"/>
    <w:qFormat/>
    <w:rsid w:val="000710B4"/>
    <w:pPr>
      <w:ind w:left="720"/>
      <w:contextualSpacing/>
    </w:pPr>
  </w:style>
  <w:style w:type="character" w:customStyle="1" w:styleId="Heading5Char">
    <w:name w:val="Heading 5 Char"/>
    <w:basedOn w:val="DefaultParagraphFont"/>
    <w:link w:val="Heading5"/>
    <w:uiPriority w:val="9"/>
    <w:semiHidden/>
    <w:rsid w:val="00A542B2"/>
    <w:rPr>
      <w:rFonts w:asciiTheme="majorHAnsi" w:eastAsiaTheme="majorEastAsia" w:hAnsiTheme="majorHAnsi" w:cstheme="majorBidi"/>
      <w:color w:val="2F5496" w:themeColor="accent1" w:themeShade="B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978487">
      <w:bodyDiv w:val="1"/>
      <w:marLeft w:val="0"/>
      <w:marRight w:val="0"/>
      <w:marTop w:val="0"/>
      <w:marBottom w:val="0"/>
      <w:divBdr>
        <w:top w:val="none" w:sz="0" w:space="0" w:color="auto"/>
        <w:left w:val="none" w:sz="0" w:space="0" w:color="auto"/>
        <w:bottom w:val="none" w:sz="0" w:space="0" w:color="auto"/>
        <w:right w:val="none" w:sz="0" w:space="0" w:color="auto"/>
      </w:divBdr>
    </w:div>
    <w:div w:id="524101366">
      <w:bodyDiv w:val="1"/>
      <w:marLeft w:val="0"/>
      <w:marRight w:val="0"/>
      <w:marTop w:val="0"/>
      <w:marBottom w:val="0"/>
      <w:divBdr>
        <w:top w:val="none" w:sz="0" w:space="0" w:color="auto"/>
        <w:left w:val="none" w:sz="0" w:space="0" w:color="auto"/>
        <w:bottom w:val="none" w:sz="0" w:space="0" w:color="auto"/>
        <w:right w:val="none" w:sz="0" w:space="0" w:color="auto"/>
      </w:divBdr>
    </w:div>
    <w:div w:id="982855332">
      <w:bodyDiv w:val="1"/>
      <w:marLeft w:val="0"/>
      <w:marRight w:val="0"/>
      <w:marTop w:val="0"/>
      <w:marBottom w:val="0"/>
      <w:divBdr>
        <w:top w:val="none" w:sz="0" w:space="0" w:color="auto"/>
        <w:left w:val="none" w:sz="0" w:space="0" w:color="auto"/>
        <w:bottom w:val="none" w:sz="0" w:space="0" w:color="auto"/>
        <w:right w:val="none" w:sz="0" w:space="0" w:color="auto"/>
      </w:divBdr>
    </w:div>
    <w:div w:id="1185747359">
      <w:bodyDiv w:val="1"/>
      <w:marLeft w:val="0"/>
      <w:marRight w:val="0"/>
      <w:marTop w:val="0"/>
      <w:marBottom w:val="0"/>
      <w:divBdr>
        <w:top w:val="none" w:sz="0" w:space="0" w:color="auto"/>
        <w:left w:val="none" w:sz="0" w:space="0" w:color="auto"/>
        <w:bottom w:val="none" w:sz="0" w:space="0" w:color="auto"/>
        <w:right w:val="none" w:sz="0" w:space="0" w:color="auto"/>
      </w:divBdr>
    </w:div>
    <w:div w:id="12215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wpn.org.uk/join_no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wpn.org.uk/Professional-Register1" TargetMode="External"/><Relationship Id="rId2" Type="http://schemas.openxmlformats.org/officeDocument/2006/relationships/hyperlink" Target="https://www.professionalstandards.org.uk/docs/default-source/accredited-registers/standards-for-accredited-registers/standards-for-accredited-registers-2016.pdf?sfvrsn=cfae4820_4" TargetMode="External"/><Relationship Id="rId1" Type="http://schemas.openxmlformats.org/officeDocument/2006/relationships/hyperlink" Target="https://view.officeapps.live.com/op/view.aspx?src=https%3A%2F%2Fwww.professionalstandards.org.uk%2Fdocs%2Fdefault-source%2Faccredited-registers%2Fpanel-decisions%2Faccredited-registers-rwpn-conditions-review.docx%3Fsfvrsn%3Dfdf64a20_3&amp;wdOrigin=BROWSELI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4" ma:contentTypeDescription="Create a new document." ma:contentTypeScope="" ma:versionID="1fd4cb2bfeb084cf8fa7f1cce612694d">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2c4a2b1e421ddd1ac252236c7a508a69"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BF577-C3AF-44E2-8744-F789C4875A87}">
  <ds:schemaRefs>
    <ds:schemaRef ds:uri="http://schemas.microsoft.com/sharepoint/v3/contenttype/forms"/>
  </ds:schemaRefs>
</ds:datastoreItem>
</file>

<file path=customXml/itemProps2.xml><?xml version="1.0" encoding="utf-8"?>
<ds:datastoreItem xmlns:ds="http://schemas.openxmlformats.org/officeDocument/2006/customXml" ds:itemID="{D3234F9E-FB0C-4C8D-99F7-60641157A9E3}">
  <ds:schemaRefs>
    <ds:schemaRef ds:uri="http://purl.org/dc/terms/"/>
    <ds:schemaRef ds:uri="3d780a0d-33ee-4d14-b466-e2e79b6fd4e5"/>
    <ds:schemaRef ds:uri="http://purl.org/dc/dcmitype/"/>
    <ds:schemaRef ds:uri="http://schemas.microsoft.com/office/2006/documentManagement/types"/>
    <ds:schemaRef ds:uri="http://schemas.microsoft.com/office/2006/metadata/properties"/>
    <ds:schemaRef ds:uri="http://purl.org/dc/elements/1.1/"/>
    <ds:schemaRef ds:uri="a1d5e04a-08af-4b47-a18d-97e384b5eba0"/>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19A611-12E6-4EF7-8CC6-2E924279CD9A}">
  <ds:schemaRefs>
    <ds:schemaRef ds:uri="http://schemas.openxmlformats.org/officeDocument/2006/bibliography"/>
  </ds:schemaRefs>
</ds:datastoreItem>
</file>

<file path=customXml/itemProps4.xml><?xml version="1.0" encoding="utf-8"?>
<ds:datastoreItem xmlns:ds="http://schemas.openxmlformats.org/officeDocument/2006/customXml" ds:itemID="{778DAA10-70D9-4C61-8163-0CD93494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Professional Standards Authority</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 Olatuyi</dc:creator>
  <cp:keywords/>
  <dc:description/>
  <cp:lastModifiedBy>Dan Scott</cp:lastModifiedBy>
  <cp:revision>19</cp:revision>
  <dcterms:created xsi:type="dcterms:W3CDTF">2025-07-10T11:53:00Z</dcterms:created>
  <dcterms:modified xsi:type="dcterms:W3CDTF">2025-07-10T12:32:00Z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ediaServiceImageTags">
    <vt:lpwstr/>
  </property>
</Properties>
</file>